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14321EBB" Type="http://schemas.openxmlformats.org/officeDocument/2006/relationships/officeDocument" Target="/word/document.xml" /><Relationship Id="coreR14321EBB"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4"/>
        <w:rPr>
          <w:rStyle w:val="C3"/>
        </w:rPr>
      </w:pPr>
    </w:p>
    <w:p>
      <w:pPr>
        <w:pStyle w:val="P4"/>
      </w:pPr>
      <w:r>
        <w:t>ORDENANZA N° 8580</w:t>
      </w:r>
    </w:p>
    <w:p>
      <w:pPr>
        <w:ind w:hanging="561" w:left="561"/>
        <w:jc w:val="both"/>
        <w:rPr>
          <w:rStyle w:val="C3"/>
          <w:rFonts w:ascii="Courier New" w:hAnsi="Courier New"/>
        </w:rPr>
      </w:pPr>
    </w:p>
    <w:p>
      <w:pPr>
        <w:ind w:hanging="561" w:left="561"/>
        <w:jc w:val="both"/>
        <w:rPr>
          <w:rStyle w:val="C3"/>
          <w:rFonts w:ascii="Courier New" w:hAnsi="Courier New"/>
        </w:rPr>
      </w:pPr>
    </w:p>
    <w:p>
      <w:pPr>
        <w:ind w:hanging="561" w:left="561"/>
        <w:jc w:val="both"/>
        <w:rPr>
          <w:rStyle w:val="C3"/>
          <w:rFonts w:ascii="Courier New" w:hAnsi="Courier New"/>
        </w:rPr>
      </w:pPr>
      <w:r>
        <w:rPr>
          <w:rStyle w:val="C3"/>
          <w:rFonts w:ascii="Courier New" w:hAnsi="Courier New"/>
        </w:rPr>
        <w:t xml:space="preserve">Visto: El Expediente Nº 607/06, iniciado por S.M.A.T.A.,  Habilitación Comercial; y</w:t>
      </w:r>
    </w:p>
    <w:p>
      <w:pPr>
        <w:pStyle w:val="P15"/>
        <w:tabs>
          <w:tab w:val="clear" w:pos="4252" w:leader="none"/>
          <w:tab w:val="clear" w:pos="8504" w:leader="none"/>
        </w:tabs>
        <w:rPr>
          <w:rStyle w:val="C3"/>
        </w:rPr>
      </w:pPr>
    </w:p>
    <w:p>
      <w:pPr>
        <w:pStyle w:val="P2"/>
        <w:rPr>
          <w:rStyle w:val="C3"/>
        </w:rPr>
      </w:pPr>
    </w:p>
    <w:p>
      <w:pPr>
        <w:pStyle w:val="P2"/>
      </w:pPr>
      <w:r>
        <w:t>C O N S I D E R A N D O</w:t>
      </w:r>
    </w:p>
    <w:p/>
    <w:p>
      <w:pPr>
        <w:ind w:left="561"/>
        <w:jc w:val="both"/>
        <w:rPr>
          <w:rStyle w:val="C3"/>
          <w:rFonts w:ascii="Courier New" w:hAnsi="Courier New"/>
        </w:rPr>
      </w:pPr>
      <w:r>
        <w:rPr>
          <w:rStyle w:val="C3"/>
          <w:rFonts w:ascii="Courier New" w:hAnsi="Courier New"/>
        </w:rPr>
        <w:t xml:space="preserve">Que en el mismo se solicita la autorización para el funcionamiento de un Salón de Usos Múltiples y Eventos en el inmueble de  propiedad del Sindicato de Mecánicos y Afines del Transporte Automotor (S.M.A.T.A.), Designación Catastral 1-1-102-9, ubicado en calle Dr. Dino Carignani Nº 280, de Barrio Norte de nuestra Ciudad;</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a Fs.38, el Área de Obras Privadas informa que el uso de suelo solicitado, no se condice con lo establecido en el Art.231º, de la Ordenanza Nº 1294 (Código de Edificación y Urbanización de Alta Gracia, en vigencia transitoria para Expedientes con inicio anterior a la fecha de publicación del nuevo Plan de Ordenamiento Urbano y Territorial, Ordenanza Nº8547 y 8548);</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de Fs. 12 a 29 consta informe de seguridad y plan de evacuación realizado por profesional idóneo, manifestando que las condiciones de seguridad del local en cuestión se ajustan a la normativa vigente en la materia;</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la existencia institucional y física de lo solicitado posee una antigüedad considerable, lo que nos lleva a la posibilidad de darle tratamiento al presente;</w:t>
      </w:r>
    </w:p>
    <w:p>
      <w:pPr>
        <w:jc w:val="both"/>
        <w:rPr>
          <w:rStyle w:val="C3"/>
          <w:rFonts w:ascii="Courier New" w:hAnsi="Courier New"/>
        </w:rPr>
      </w:pPr>
    </w:p>
    <w:p>
      <w:pPr>
        <w:ind w:left="561"/>
        <w:jc w:val="both"/>
        <w:rPr>
          <w:rStyle w:val="C3"/>
          <w:rFonts w:ascii="Courier New" w:hAnsi="Courier New"/>
        </w:rPr>
      </w:pPr>
      <w:r>
        <w:rPr>
          <w:rStyle w:val="C3"/>
          <w:rFonts w:ascii="Courier New" w:hAnsi="Courier New"/>
        </w:rPr>
        <w:t>Que el cumplimiento de lo que concierne a seguridad en este tipo de locales es de fundamental importancia, ya que al ser lugares de aglomeración de personas, es la vida humana la que corre riesgo en caso de accidentes imprevistos;</w:t>
      </w:r>
    </w:p>
    <w:p>
      <w:pPr>
        <w:ind w:left="561"/>
        <w:jc w:val="right"/>
        <w:rPr>
          <w:rStyle w:val="C3"/>
          <w:rFonts w:ascii="Courier New" w:hAnsi="Courier New"/>
        </w:rPr>
      </w:pPr>
      <w:r>
        <w:rPr>
          <w:rStyle w:val="C3"/>
          <w:rFonts w:ascii="Courier New" w:hAnsi="Courier New"/>
        </w:rPr>
        <w:t>...///</w:t>
      </w:r>
    </w:p>
    <w:p>
      <w:pPr>
        <w:ind w:left="561"/>
        <w:jc w:val="both"/>
        <w:rPr>
          <w:rStyle w:val="C3"/>
          <w:rFonts w:ascii="Courier New" w:hAnsi="Courier New"/>
        </w:rPr>
      </w:pPr>
    </w:p>
    <w:p>
      <w:pPr>
        <w:ind w:left="561"/>
        <w:jc w:val="both"/>
        <w:rPr>
          <w:rStyle w:val="C3"/>
          <w:rFonts w:ascii="Courier New" w:hAnsi="Courier New"/>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20"/>
        <w:ind w:hanging="374" w:left="374"/>
        <w:jc w:val="both"/>
        <w:rPr>
          <w:rStyle w:val="C3"/>
          <w:sz w:val="24"/>
        </w:rPr>
      </w:pPr>
    </w:p>
    <w:p>
      <w:pPr>
        <w:pStyle w:val="P20"/>
        <w:ind w:hanging="374" w:left="374"/>
        <w:jc w:val="both"/>
        <w:rPr>
          <w:rStyle w:val="C3"/>
          <w:sz w:val="24"/>
        </w:rPr>
      </w:pPr>
      <w:r>
        <w:rPr>
          <w:rStyle w:val="C3"/>
          <w:sz w:val="24"/>
        </w:rPr>
        <w:t>...///2.-</w:t>
      </w:r>
    </w:p>
    <w:p>
      <w:pPr>
        <w:ind w:hanging="561" w:left="561"/>
        <w:jc w:val="both"/>
        <w:rPr>
          <w:rStyle w:val="C3"/>
          <w:rFonts w:ascii="Courier New" w:hAnsi="Courier New"/>
        </w:rPr>
      </w:pPr>
      <w:r>
        <w:rPr>
          <w:rStyle w:val="C3"/>
          <w:rFonts w:ascii="Courier New" w:hAnsi="Courier New"/>
        </w:rPr>
        <w:t xml:space="preserve">    Que analizado el Expediente de referencia por la Comisión de Obras y Servicios Públicos, la misma emite despacho favorable, aprobado por unanimidad en Sesión Ordinaria del día 17 de Marzo de 2010.- </w:t>
      </w:r>
    </w:p>
    <w:p>
      <w:pPr>
        <w:jc w:val="center"/>
        <w:rPr>
          <w:rStyle w:val="C3"/>
          <w:rFonts w:ascii="Courier New" w:hAnsi="Courier New"/>
          <w:b w:val="1"/>
        </w:rPr>
      </w:pPr>
    </w:p>
    <w:p>
      <w:pPr>
        <w:jc w:val="center"/>
        <w:rPr>
          <w:rStyle w:val="C3"/>
          <w:rFonts w:ascii="Courier New" w:hAnsi="Courier New"/>
          <w:b w:val="1"/>
        </w:rPr>
      </w:pPr>
    </w:p>
    <w:p>
      <w:pPr>
        <w:jc w:val="center"/>
        <w:rPr>
          <w:rStyle w:val="C3"/>
          <w:rFonts w:ascii="Courier New" w:hAnsi="Courier New"/>
          <w:b w:val="1"/>
        </w:rPr>
      </w:pPr>
      <w:r>
        <w:rPr>
          <w:rStyle w:val="C3"/>
          <w:rFonts w:ascii="Courier New" w:hAnsi="Courier New"/>
          <w:b w:val="1"/>
        </w:rPr>
        <w:t>EL HONORABLE CONCEJO DELIBERANTE DE LA CIUDAD DE</w:t>
      </w:r>
    </w:p>
    <w:p>
      <w:pPr>
        <w:jc w:val="center"/>
        <w:rPr>
          <w:rStyle w:val="C3"/>
          <w:rFonts w:ascii="Courier New" w:hAnsi="Courier New"/>
          <w:b w:val="1"/>
        </w:rPr>
      </w:pPr>
    </w:p>
    <w:p>
      <w:pPr>
        <w:pStyle w:val="P12"/>
        <w:ind w:left="561"/>
        <w:rPr>
          <w:rStyle w:val="C3"/>
          <w:b w:val="1"/>
        </w:rPr>
      </w:pPr>
      <w:r>
        <w:rPr>
          <w:rStyle w:val="C3"/>
          <w:b w:val="1"/>
        </w:rPr>
        <w:t xml:space="preserve">    ALTA GRACIA SANCIONA CON FUERZA DE ORDENANZA</w:t>
      </w:r>
    </w:p>
    <w:p>
      <w:pPr>
        <w:pStyle w:val="P12"/>
        <w:ind w:left="561"/>
        <w:rPr>
          <w:rStyle w:val="C3"/>
          <w:b w:val="1"/>
        </w:rPr>
      </w:pPr>
    </w:p>
    <w:p>
      <w:pPr>
        <w:ind w:hanging="374" w:left="374"/>
        <w:jc w:val="both"/>
        <w:rPr>
          <w:rStyle w:val="C3"/>
          <w:rFonts w:ascii="Courier New" w:hAnsi="Courier New"/>
          <w:b w:val="1"/>
          <w:color w:val="000000"/>
          <w:u w:val="single"/>
        </w:rPr>
      </w:pPr>
    </w:p>
    <w:p>
      <w:pPr>
        <w:ind w:hanging="374" w:left="374"/>
        <w:jc w:val="both"/>
        <w:rPr>
          <w:rStyle w:val="C3"/>
          <w:rFonts w:ascii="Courier New" w:hAnsi="Courier New"/>
        </w:rPr>
      </w:pPr>
      <w:r>
        <w:rPr>
          <w:rStyle w:val="C3"/>
          <w:rFonts w:ascii="Courier New" w:hAnsi="Courier New"/>
          <w:b w:val="1"/>
          <w:color w:val="000000"/>
          <w:u w:val="single"/>
        </w:rPr>
        <w:t>Art.1</w:t>
      </w:r>
      <w:r>
        <w:rPr>
          <w:rStyle w:val="C3"/>
          <w:rFonts w:ascii="Courier New" w:hAnsi="Courier New"/>
          <w:b w:val="1"/>
          <w:color w:val="000000"/>
        </w:rPr>
        <w:t>:</w:t>
      </w:r>
      <w:r>
        <w:rPr>
          <w:rStyle w:val="C3"/>
          <w:rFonts w:ascii="Courier New" w:hAnsi="Courier New"/>
          <w:color w:val="000000"/>
        </w:rPr>
        <w:t xml:space="preserve"> </w:t>
      </w:r>
      <w:r>
        <w:rPr>
          <w:rStyle w:val="C3"/>
          <w:rFonts w:ascii="Courier New" w:hAnsi="Courier New"/>
          <w:b w:val="1"/>
        </w:rPr>
        <w:t xml:space="preserve">AUTORIZAR </w:t>
      </w:r>
      <w:r>
        <w:rPr>
          <w:rStyle w:val="C3"/>
          <w:rFonts w:ascii="Courier New" w:hAnsi="Courier New"/>
        </w:rPr>
        <w:t xml:space="preserve"> al Sindicato de Mecánicos y Afines del Transporte Automotor (S.M.A.T.A.), a instalar el inmueble Designación Catastral 1-1-102-9, ubicado en calle Dr. Dino Carignani Nº 280, de Barrio Norte de nuestra Ciudad, un Salón de Usos Múltiples y Eventos, sin el cumplimiento de lo establecido en el Art.231º, de la Ordenanza Nº 1294 (Código de Edificación y Urbanización de Alta Gracia, en vigencia transitoria para Expedientes con inicio anterior a la fecha de publicación del nuevo Plan de Ordenamiento Urbano y Territorial, Ordenanza Nº 8547 y 8548).-</w:t>
      </w:r>
    </w:p>
    <w:p>
      <w:pPr>
        <w:pStyle w:val="P20"/>
        <w:ind w:hanging="374" w:left="374"/>
        <w:jc w:val="both"/>
        <w:rPr>
          <w:rStyle w:val="C3"/>
          <w:b w:val="1"/>
          <w:sz w:val="24"/>
          <w:u w:val="single"/>
        </w:rPr>
      </w:pPr>
    </w:p>
    <w:p>
      <w:pPr>
        <w:pStyle w:val="P20"/>
        <w:ind w:hanging="374" w:left="374"/>
        <w:jc w:val="both"/>
        <w:rPr>
          <w:rStyle w:val="C3"/>
          <w:sz w:val="24"/>
        </w:rPr>
      </w:pPr>
      <w:r>
        <w:rPr>
          <w:rStyle w:val="C3"/>
          <w:b w:val="1"/>
          <w:sz w:val="24"/>
          <w:u w:val="single"/>
        </w:rPr>
        <w:t>Art.2</w:t>
      </w:r>
      <w:r>
        <w:rPr>
          <w:rStyle w:val="C3"/>
          <w:b w:val="1"/>
          <w:sz w:val="24"/>
        </w:rPr>
        <w:t xml:space="preserve">: </w:t>
      </w:r>
      <w:r>
        <w:rPr>
          <w:rStyle w:val="C3"/>
          <w:b w:val="1"/>
          <w:sz w:val="24"/>
        </w:rPr>
        <w:t>CONDICIONA</w:t>
      </w:r>
      <w:r>
        <w:rPr>
          <w:rStyle w:val="C3"/>
          <w:b w:val="1"/>
          <w:sz w:val="24"/>
        </w:rPr>
        <w:t>SE</w:t>
      </w:r>
      <w:r>
        <w:rPr>
          <w:rStyle w:val="C3"/>
          <w:sz w:val="24"/>
        </w:rPr>
        <w:t xml:space="preserve"> la habilitación del mismo al irrestricto cumplimiento de las normas vigentes en seguridad e higiene en el trabajo.- </w:t>
      </w:r>
      <w:r>
        <w:rPr>
          <w:rStyle w:val="C3"/>
          <w:b w:val="1"/>
          <w:sz w:val="24"/>
        </w:rPr>
        <w:tab/>
      </w:r>
    </w:p>
    <w:p>
      <w:pPr>
        <w:pStyle w:val="P20"/>
        <w:jc w:val="both"/>
        <w:rPr>
          <w:rStyle w:val="C3"/>
          <w:b w:val="1"/>
          <w:sz w:val="24"/>
        </w:rPr>
      </w:pPr>
    </w:p>
    <w:p>
      <w:pPr>
        <w:pStyle w:val="P20"/>
        <w:ind w:hanging="374" w:left="374"/>
        <w:jc w:val="both"/>
        <w:rPr>
          <w:rStyle w:val="C3"/>
          <w:b w:val="1"/>
          <w:sz w:val="24"/>
        </w:rPr>
      </w:pPr>
      <w:r>
        <w:rPr>
          <w:rStyle w:val="C3"/>
          <w:b w:val="1"/>
          <w:sz w:val="24"/>
          <w:u w:val="single"/>
        </w:rPr>
        <w:t>Art.3</w:t>
      </w:r>
      <w:r>
        <w:rPr>
          <w:rStyle w:val="C3"/>
          <w:b w:val="1"/>
          <w:sz w:val="24"/>
        </w:rPr>
        <w:t>:</w:t>
      </w:r>
      <w:r>
        <w:rPr>
          <w:rStyle w:val="C3"/>
          <w:b w:val="1"/>
          <w:sz w:val="24"/>
        </w:rPr>
        <w:t xml:space="preserve"> </w:t>
      </w:r>
      <w:r>
        <w:rPr>
          <w:rStyle w:val="C3"/>
          <w:b w:val="1"/>
          <w:sz w:val="24"/>
        </w:rPr>
        <w:t xml:space="preserve">DEBERÁ </w:t>
      </w:r>
      <w:r>
        <w:rPr>
          <w:rStyle w:val="C3"/>
          <w:sz w:val="24"/>
        </w:rPr>
        <w:t>el Departamento Ejecutivo, por medio de sus Áreas Técnicas, verificar que el informe técnico realizado por el profesional idóneo (que consta en Fs. 12 a 29) cumple con lo establecido por la normativa vigente en la materia.-</w:t>
      </w:r>
    </w:p>
    <w:p>
      <w:pPr>
        <w:pStyle w:val="P20"/>
        <w:ind w:hanging="374" w:left="374"/>
        <w:jc w:val="both"/>
        <w:rPr>
          <w:rStyle w:val="C3"/>
          <w:b w:val="1"/>
          <w:sz w:val="24"/>
          <w:u w:val="single"/>
        </w:rPr>
      </w:pPr>
    </w:p>
    <w:p>
      <w:pPr>
        <w:pStyle w:val="P20"/>
        <w:ind w:hanging="374" w:left="374"/>
        <w:jc w:val="both"/>
        <w:rPr>
          <w:rStyle w:val="C3"/>
          <w:sz w:val="24"/>
        </w:rPr>
      </w:pPr>
      <w:r>
        <w:rPr>
          <w:rStyle w:val="C3"/>
          <w:b w:val="1"/>
          <w:sz w:val="24"/>
          <w:u w:val="single"/>
        </w:rPr>
        <w:t>Art.</w:t>
      </w:r>
      <w:r>
        <w:rPr>
          <w:rStyle w:val="C3"/>
          <w:b w:val="1"/>
          <w:sz w:val="24"/>
          <w:u w:val="single"/>
        </w:rPr>
        <w:t>4</w:t>
      </w:r>
      <w:r>
        <w:rPr>
          <w:rStyle w:val="C3"/>
          <w:b w:val="1"/>
          <w:sz w:val="24"/>
        </w:rPr>
        <w:t>: PROTOCOLÍCESE,</w:t>
      </w:r>
      <w:r>
        <w:rPr>
          <w:rStyle w:val="C3"/>
          <w:sz w:val="24"/>
        </w:rPr>
        <w:t xml:space="preserve"> comuníquese, publíquese en el Boletín Oficial de la ciudad de Alta Gracia, incorpórese al Libro de Ordenanzas y archívese.- </w:t>
      </w:r>
    </w:p>
    <w:p>
      <w:pPr>
        <w:pStyle w:val="P20"/>
        <w:jc w:val="both"/>
        <w:rPr>
          <w:rStyle w:val="C3"/>
          <w:sz w:val="24"/>
        </w:rPr>
      </w:pPr>
    </w:p>
    <w:p>
      <w:pPr>
        <w:pStyle w:val="P20"/>
        <w:tabs>
          <w:tab w:val="left" w:pos="1460" w:leader="none"/>
        </w:tabs>
        <w:jc w:val="both"/>
      </w:pPr>
      <w:r>
        <w:tab/>
      </w:r>
    </w:p>
    <w:p>
      <w:pPr>
        <w:pStyle w:val="P17"/>
      </w:pPr>
      <w:r>
        <w:t xml:space="preserve">DADA EN LA SALA DE SESIONES DEL HONORABLE CONCEJO DELIBERANTE A LOS DIECISIETE DÍAS DEL MES DE MARZO DEL AÑO DOS MIL DIEZ.- </w:t>
      </w:r>
    </w:p>
    <w:sectPr>
      <w:type w:val="nextPage"/>
      <w:pgSz w:w="11906" w:h="16838" w:code="0"/>
      <w:pgMar w:left="1701" w:right="1701" w:top="1418" w:bottom="1418" w:header="720" w:footer="720" w:gutter="0"/>
    </w:sectPr>
  </w:body>
</w:document>
</file>

<file path=word/numbering.xml><?xml version="1.0" encoding="utf-8"?>
<w:numbering xmlns:w="http://schemas.openxmlformats.org/wordprocessingml/2006/main">
  <w:abstractNum w:abstractNumId="0">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2">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num w:numId="1">
    <w:abstractNumId w:val="2"/>
  </w:num>
  <w:num w:numId="2">
    <w:abstractNumId w:val="0"/>
  </w:num>
  <w:num w:numId="3">
    <w:abstractNumId w:val="1"/>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basedOn w:val="C3"/>
    <w:qFormat/>
    <w:rPr>
      <w:b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2010-03-19T12:49:00Z</dcterms:created>
  <cp:lastModifiedBy>Ethan Puglia</cp:lastModifiedBy>
  <cp:lastPrinted>2010-03-19T14:14:00Z</cp:lastPrinted>
  <dcterms:modified xsi:type="dcterms:W3CDTF">2019-03-28T17:34:19Z</dcterms:modified>
  <cp:revision>9</cp:revision>
  <dc:title>PROYECTO DE ORDENANZA VIOLENCIA FAMILIAR</dc:title>
</cp:coreProperties>
</file>