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7F82F9E3" Type="http://schemas.openxmlformats.org/officeDocument/2006/relationships/officeDocument" Target="/word/document.xml" /><Relationship Id="coreR7F82F9E3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b w:val="1"/>
          <w:sz w:val="24"/>
        </w:rPr>
      </w:pPr>
      <w:r>
        <w:rPr>
          <w:rStyle w:val="C3"/>
          <w:rFonts w:ascii="JaneAusten" w:hAnsi="JaneAusten"/>
          <w:b w:val="0"/>
          <w:sz w:val="24"/>
        </w:rPr>
        <w:t>“2010 Año del Bicentenario de la Revolución de Mayo”</w:t>
      </w:r>
    </w:p>
    <w:p>
      <w:pPr>
        <w:pStyle w:val="P4"/>
        <w:rPr>
          <w:rStyle w:val="C3"/>
        </w:rPr>
      </w:pPr>
    </w:p>
    <w:p>
      <w:pPr>
        <w:pStyle w:val="P4"/>
      </w:pPr>
      <w:r>
        <w:t>ORDENANZA N° 8581</w:t>
      </w:r>
    </w:p>
    <w:p>
      <w:pPr>
        <w:ind w:hanging="561" w:left="561"/>
        <w:jc w:val="both"/>
        <w:rPr>
          <w:rStyle w:val="C3"/>
          <w:rFonts w:ascii="Courier New" w:hAnsi="Courier New"/>
        </w:rPr>
      </w:pPr>
    </w:p>
    <w:p>
      <w:pPr>
        <w:ind w:hanging="561" w:left="561"/>
        <w:jc w:val="both"/>
        <w:rPr>
          <w:rStyle w:val="C3"/>
          <w:rFonts w:ascii="Courier New" w:hAnsi="Courier New"/>
        </w:rPr>
      </w:pPr>
    </w:p>
    <w:p>
      <w:pPr>
        <w:ind w:hanging="561"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La escala salarial de los trabajadores municipales; y</w:t>
      </w:r>
    </w:p>
    <w:p>
      <w:pPr>
        <w:pStyle w:val="P15"/>
        <w:tabs>
          <w:tab w:val="clear" w:pos="4252" w:leader="none"/>
          <w:tab w:val="clear" w:pos="8504" w:leader="none"/>
        </w:tabs>
        <w:rPr>
          <w:rStyle w:val="C3"/>
        </w:rPr>
      </w:pPr>
    </w:p>
    <w:p>
      <w:pPr>
        <w:pStyle w:val="P2"/>
      </w:pPr>
      <w:r>
        <w:t>C O N S I D E R A N D O</w:t>
      </w:r>
    </w:p>
    <w:p/>
    <w:p>
      <w:pPr>
        <w:ind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el incremento generalizado y sostenido de los precios que afecta a la economía del país genera una disminución en el poder de compra de los asalariados en general, y de los trabajadores del Estado Municipal de la Ciudad de Alta Gracia, en particular;</w:t>
      </w:r>
    </w:p>
    <w:p>
      <w:pPr>
        <w:ind w:hanging="561"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ab/>
      </w:r>
    </w:p>
    <w:p>
      <w:pPr>
        <w:ind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esta desvalorización de la moneda causa un mayor impacto en quienes dependen de ingresos fijos y no pueden acomodar su situación al nivel general de precios de la economía de manera inmediata, como es el caso de los trabajadores y también del Municipio;</w:t>
      </w:r>
    </w:p>
    <w:p>
      <w:pPr>
        <w:ind w:hanging="561" w:left="561"/>
        <w:jc w:val="both"/>
        <w:rPr>
          <w:rStyle w:val="C3"/>
          <w:rFonts w:ascii="Courier New" w:hAnsi="Courier New"/>
        </w:rPr>
      </w:pPr>
    </w:p>
    <w:p>
      <w:pPr>
        <w:ind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se deberán preservar los derechos de los trabajadores, sin comprometer el equilibrio presupuestario y financiero del Estado Municipal;</w:t>
      </w:r>
    </w:p>
    <w:p>
      <w:pPr>
        <w:ind w:hanging="561"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ab/>
      </w:r>
    </w:p>
    <w:p>
      <w:pPr>
        <w:ind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el Gobierno Municipal nunca negó la posibilidad de mejora en los salarios de los trabajadores, pero sin descuidar su importante e ineludible obligación, que es responder ante la ciudadanía de Alta Gracia prestando los servicios por los cuales ésta tributa;</w:t>
      </w:r>
    </w:p>
    <w:p>
      <w:pPr>
        <w:ind w:hanging="561"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ab/>
      </w:r>
    </w:p>
    <w:p>
      <w:pPr>
        <w:ind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siguiendo esta tesitura se arribó a un acuerdo con el SI.TRA.M.A.G. con el fin de incorporar un incremento salarial al sueldo básico de todo el personal comprendido en el Artículo 3º, de la Ordenanza Nº 2147/89 y Decreto Nº 208/91 y sus modificatorias “Estatuto y Reglamento del Empleado Municipal”, de PESOS CINCUENTA ($50,oo) en cada uno de los meses que se detallan a continuación: Julio, Agosto y Setiembre de  2010,  sin  aplicar  el  Anexo I de la Ordenanza Nº </w:t>
      </w:r>
    </w:p>
    <w:p>
      <w:pPr>
        <w:ind w:left="561"/>
        <w:jc w:val="right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</w:t>
      </w:r>
    </w:p>
    <w:p>
      <w:pPr>
        <w:ind w:left="561"/>
        <w:jc w:val="both"/>
        <w:rPr>
          <w:rStyle w:val="C3"/>
          <w:rFonts w:ascii="Courier New" w:hAnsi="Courier New"/>
        </w:rPr>
      </w:pPr>
    </w:p>
    <w:p>
      <w:pPr>
        <w:ind w:left="561"/>
        <w:jc w:val="both"/>
        <w:rPr>
          <w:rStyle w:val="C3"/>
          <w:rFonts w:ascii="Courier New" w:hAnsi="Courier New"/>
        </w:rPr>
      </w:pPr>
    </w:p>
    <w:p>
      <w:pPr>
        <w:ind w:left="561"/>
        <w:jc w:val="both"/>
        <w:rPr>
          <w:rStyle w:val="C3"/>
          <w:rFonts w:ascii="Courier New" w:hAnsi="Courier New"/>
        </w:rPr>
      </w:pPr>
    </w:p>
    <w:p>
      <w:pPr>
        <w:ind w:left="561"/>
        <w:jc w:val="both"/>
        <w:rPr>
          <w:rStyle w:val="C3"/>
          <w:rFonts w:ascii="Courier New" w:hAnsi="Courier New"/>
        </w:rPr>
      </w:pPr>
    </w:p>
    <w:p>
      <w:pPr>
        <w:ind w:left="561"/>
        <w:jc w:val="both"/>
        <w:rPr>
          <w:rStyle w:val="C3"/>
          <w:rFonts w:ascii="Courier New" w:hAnsi="Courier New"/>
        </w:rPr>
      </w:pPr>
    </w:p>
    <w:p>
      <w:pPr>
        <w:ind w:left="561"/>
        <w:jc w:val="both"/>
        <w:rPr>
          <w:rStyle w:val="C3"/>
          <w:rFonts w:ascii="Courier New" w:hAnsi="Courier New"/>
        </w:rPr>
      </w:pPr>
    </w:p>
    <w:p>
      <w:pPr>
        <w:ind w:left="561"/>
        <w:jc w:val="both"/>
        <w:rPr>
          <w:rStyle w:val="C3"/>
          <w:rFonts w:ascii="Courier New" w:hAnsi="Courier New"/>
        </w:rPr>
      </w:pPr>
    </w:p>
    <w:p>
      <w:pPr>
        <w:pStyle w:val="P16"/>
        <w:ind w:left="113"/>
        <w:jc w:val="center"/>
        <w:rPr>
          <w:rStyle w:val="C3"/>
          <w:b w:val="1"/>
          <w:sz w:val="24"/>
        </w:rPr>
      </w:pPr>
      <w:r>
        <w:rPr>
          <w:rStyle w:val="C3"/>
          <w:rFonts w:ascii="JaneAusten" w:hAnsi="JaneAusten"/>
          <w:b w:val="0"/>
          <w:sz w:val="24"/>
        </w:rPr>
        <w:t>“2010 Año del Bicentenario de la Revolución de Mayo”</w:t>
      </w: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...///2.-</w:t>
      </w:r>
    </w:p>
    <w:p>
      <w:pPr>
        <w:ind w:left="561"/>
        <w:jc w:val="both"/>
        <w:rPr>
          <w:rStyle w:val="C3"/>
          <w:rFonts w:ascii="Courier New" w:hAnsi="Courier New"/>
        </w:rPr>
      </w:pPr>
    </w:p>
    <w:p>
      <w:pPr>
        <w:ind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3519/97 y sus modificatorias “Escalafón Municipal”; Octubre, Noviembre y Diciembre de 2010, aplicando el Anexo mencionado;</w:t>
      </w:r>
    </w:p>
    <w:p>
      <w:pPr>
        <w:jc w:val="both"/>
        <w:rPr>
          <w:rStyle w:val="C3"/>
          <w:rFonts w:ascii="Courier New" w:hAnsi="Courier New"/>
        </w:rPr>
      </w:pPr>
    </w:p>
    <w:p>
      <w:pPr>
        <w:ind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se hace necesario generar un efecto inmediato en los ingresos de bolsillo que perciben los trabajadores de la Municipalidad de la ciudad de Alta Gracia;</w:t>
      </w:r>
    </w:p>
    <w:p>
      <w:pPr>
        <w:ind w:left="561"/>
        <w:jc w:val="both"/>
        <w:rPr>
          <w:rStyle w:val="C3"/>
          <w:rFonts w:ascii="Courier New" w:hAnsi="Courier New"/>
        </w:rPr>
      </w:pPr>
    </w:p>
    <w:p>
      <w:pPr>
        <w:ind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en vista de ello, esta Administración Municipal considera apropiado otorgar como adelanto una suma fija de PESOS TRESCEINTOS ($300,oo.-) a partir del mes de marzo de 2010, a todo el personal bajo el ámbito de aplicación de la Ordenanza Nº 2147/89 y Decreto Nº 208/91 y sus modificatorias “Estatuto y Reglamento del Empleado Municipal”;</w:t>
      </w:r>
    </w:p>
    <w:p>
      <w:pPr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  </w:t>
      </w:r>
    </w:p>
    <w:p>
      <w:pPr>
        <w:ind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analizado el Proyecto de Ordenanza por la totalidad de los Concejales presentes, se resuelve, por Mayoría, su aprobación, en Sesión Ordinaria del día 25 de Marzo de 2010.- 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jc w:val="center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</w:rPr>
        <w:t>EL HONORABLE CONCEJO DELIBERANTE DE LA CIUDAD DE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ind w:left="561"/>
        <w:rPr>
          <w:rStyle w:val="C3"/>
          <w:b w:val="1"/>
        </w:rPr>
      </w:pPr>
      <w:r>
        <w:rPr>
          <w:rStyle w:val="C3"/>
          <w:b w:val="1"/>
        </w:rPr>
        <w:t xml:space="preserve">    ALTA GRACIA SANCIONA CON FUERZA DE ORDENANZA</w:t>
      </w:r>
    </w:p>
    <w:p>
      <w:pPr>
        <w:pStyle w:val="P12"/>
        <w:ind w:left="561"/>
        <w:rPr>
          <w:rStyle w:val="C3"/>
          <w:b w:val="1"/>
        </w:rPr>
      </w:pPr>
    </w:p>
    <w:p>
      <w:pPr>
        <w:ind w:hanging="374" w:left="374"/>
        <w:jc w:val="both"/>
        <w:rPr>
          <w:rStyle w:val="C3"/>
          <w:rFonts w:ascii="Courier New" w:hAnsi="Courier New"/>
          <w:b w:val="1"/>
          <w:color w:val="000000"/>
          <w:u w:val="single"/>
        </w:rPr>
      </w:pPr>
    </w:p>
    <w:p>
      <w:pPr>
        <w:ind w:hanging="561"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color w:val="000000"/>
          <w:u w:val="single"/>
        </w:rPr>
        <w:t>Art.1</w:t>
      </w:r>
      <w:r>
        <w:rPr>
          <w:rStyle w:val="C3"/>
          <w:rFonts w:ascii="Courier New" w:hAnsi="Courier New"/>
          <w:b w:val="1"/>
          <w:color w:val="000000"/>
        </w:rPr>
        <w:t>:</w:t>
      </w:r>
      <w:r>
        <w:rPr>
          <w:rStyle w:val="C3"/>
          <w:rFonts w:ascii="Courier New" w:hAnsi="Courier New"/>
          <w:color w:val="000000"/>
        </w:rPr>
        <w:t xml:space="preserve"> </w:t>
      </w:r>
      <w:r>
        <w:rPr>
          <w:rStyle w:val="C3"/>
          <w:rFonts w:ascii="Courier New" w:hAnsi="Courier New"/>
          <w:b w:val="1"/>
        </w:rPr>
        <w:t>FACÚLTASE</w:t>
      </w:r>
      <w:r>
        <w:rPr>
          <w:rStyle w:val="C3"/>
          <w:rFonts w:ascii="Courier New" w:hAnsi="Courier New"/>
        </w:rPr>
        <w:t xml:space="preserve"> al Departamento Ejecutivo a otorgar como adelanto a cuenta de incremento salarial la suma fija de PESOS TRESCIENTOS ($300,oo.-) a partir del mes de Marzo de 2010, a todo el personal bajo el ámbito de aplicación de la Ordenanza Nº 2147/89 y Decreto Nº 208/91 y sus modificatorias “Estatuto y Reglamento del Empleado Municipal”.- </w:t>
      </w:r>
    </w:p>
    <w:p>
      <w:pPr>
        <w:pStyle w:val="P20"/>
        <w:ind w:hanging="374" w:left="374"/>
        <w:jc w:val="both"/>
        <w:rPr>
          <w:rStyle w:val="C3"/>
          <w:b w:val="1"/>
          <w:sz w:val="24"/>
          <w:u w:val="single"/>
        </w:rPr>
      </w:pPr>
    </w:p>
    <w:p>
      <w:pPr>
        <w:pStyle w:val="P20"/>
        <w:ind w:hanging="374" w:left="374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</w:t>
      </w:r>
      <w:r>
        <w:rPr>
          <w:rStyle w:val="C3"/>
          <w:b w:val="1"/>
          <w:sz w:val="24"/>
          <w:u w:val="single"/>
        </w:rPr>
        <w:t>2</w:t>
      </w:r>
      <w:r>
        <w:rPr>
          <w:rStyle w:val="C3"/>
          <w:b w:val="1"/>
          <w:sz w:val="24"/>
        </w:rPr>
        <w:t>: PROTOCOLÍCESE,</w:t>
      </w:r>
      <w:r>
        <w:rPr>
          <w:rStyle w:val="C3"/>
          <w:sz w:val="24"/>
        </w:rPr>
        <w:t xml:space="preserve"> comuníquese, publíquese en el Boletín Oficial de la ciudad de Alta Gracia, incorpórese al Libro de Ordenanzas y archívese.- </w:t>
      </w:r>
    </w:p>
    <w:p>
      <w:pPr>
        <w:pStyle w:val="P20"/>
        <w:jc w:val="both"/>
        <w:rPr>
          <w:rStyle w:val="C3"/>
          <w:sz w:val="24"/>
        </w:rPr>
      </w:pPr>
    </w:p>
    <w:p>
      <w:pPr>
        <w:pStyle w:val="P20"/>
        <w:tabs>
          <w:tab w:val="left" w:pos="1460" w:leader="none"/>
        </w:tabs>
        <w:jc w:val="both"/>
      </w:pPr>
      <w:r>
        <w:tab/>
      </w:r>
    </w:p>
    <w:p>
      <w:pPr>
        <w:pStyle w:val="P17"/>
      </w:pPr>
      <w:r>
        <w:t xml:space="preserve">DADA EN LA SALA DE SESIONES DEL HONORABLE CONCEJO DELIBERANTE A LOS VEINTICINCO DÍAS DEL MES DE MARZO DEL AÑO DOS MIL DIEZ.- </w:t>
      </w:r>
    </w:p>
    <w:sectPr>
      <w:type w:val="nextPage"/>
      <w:pgSz w:w="11906" w:h="16838" w:code="0"/>
      <w:pgMar w:left="1701" w:right="1701" w:top="1418" w:bottom="1418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nsid w:val="1E7D5A80"/>
    <w:multiLevelType w:val="multilevel"/>
    <w:lvl w:ilvl="0">
      <w:start w:val="1"/>
      <w:numFmt w:val="lowerLetter"/>
      <w:suff w:val="tab"/>
      <w:lvlText w:val="%1)"/>
      <w:lvlJc w:val="left"/>
      <w:pPr>
        <w:ind w:hanging="435" w:left="810"/>
        <w:tabs>
          <w:tab w:val="left" w:pos="81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55"/>
        <w:tabs>
          <w:tab w:val="left" w:pos="145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75"/>
        <w:tabs>
          <w:tab w:val="left" w:pos="217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95"/>
        <w:tabs>
          <w:tab w:val="left" w:pos="289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15"/>
        <w:tabs>
          <w:tab w:val="left" w:pos="361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35"/>
        <w:tabs>
          <w:tab w:val="left" w:pos="433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55"/>
        <w:tabs>
          <w:tab w:val="left" w:pos="505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75"/>
        <w:tabs>
          <w:tab w:val="left" w:pos="577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95"/>
        <w:tabs>
          <w:tab w:val="left" w:pos="6495" w:leader="none"/>
        </w:tabs>
      </w:pPr>
      <w:rPr/>
    </w:lvl>
  </w:abstractNum>
  <w:abstractNum w:abstractNumId="1">
    <w:nsid w:val="2BA80398"/>
    <w:multiLevelType w:val="multilevel"/>
    <w:lvl w:ilvl="0">
      <w:start w:val="1"/>
      <w:numFmt w:val="lowerLetter"/>
      <w:suff w:val="tab"/>
      <w:lvlText w:val="%1)"/>
      <w:lvlJc w:val="left"/>
      <w:pPr>
        <w:ind w:hanging="435" w:left="870"/>
        <w:tabs>
          <w:tab w:val="left" w:pos="87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  <w:tabs>
          <w:tab w:val="left" w:pos="151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  <w:tabs>
          <w:tab w:val="left" w:pos="223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  <w:tabs>
          <w:tab w:val="left" w:pos="295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  <w:tabs>
          <w:tab w:val="left" w:pos="367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  <w:tabs>
          <w:tab w:val="left" w:pos="439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  <w:tabs>
          <w:tab w:val="left" w:pos="511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  <w:tabs>
          <w:tab w:val="left" w:pos="583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  <w:tabs>
          <w:tab w:val="left" w:pos="6555" w:leader="none"/>
        </w:tabs>
      </w:pPr>
      <w:rPr/>
    </w:lvl>
  </w:abstractNum>
  <w:abstractNum w:abstractNumId="2">
    <w:nsid w:val="57B348CB"/>
    <w:multiLevelType w:val="multilevel"/>
    <w:lvl w:ilvl="0">
      <w:start w:val="1"/>
      <w:numFmt w:val="lowerLetter"/>
      <w:suff w:val="tab"/>
      <w:lvlText w:val="%1)"/>
      <w:lvlJc w:val="left"/>
      <w:pPr>
        <w:ind w:hanging="495" w:left="1056"/>
        <w:tabs>
          <w:tab w:val="left" w:pos="105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641"/>
        <w:tabs>
          <w:tab w:val="left" w:pos="1641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361"/>
        <w:tabs>
          <w:tab w:val="left" w:pos="2361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081"/>
        <w:tabs>
          <w:tab w:val="left" w:pos="3081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801"/>
        <w:tabs>
          <w:tab w:val="left" w:pos="3801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521"/>
        <w:tabs>
          <w:tab w:val="left" w:pos="4521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241"/>
        <w:tabs>
          <w:tab w:val="left" w:pos="5241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961"/>
        <w:tabs>
          <w:tab w:val="left" w:pos="5961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681"/>
        <w:tabs>
          <w:tab w:val="left" w:pos="6681" w:leader="none"/>
        </w:tabs>
      </w:pPr>
      <w:rPr/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qFormat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qFormat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qFormat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qFormat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qFormat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qFormat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qFormat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qFormat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qFormat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qFormat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pPr>
      <w:jc w:val="both"/>
    </w:pPr>
    <w:rPr>
      <w:rFonts w:ascii="Courier New" w:hAnsi="Courier New"/>
    </w:rPr>
  </w:style>
  <w:style w:type="paragraph" w:styleId="P12">
    <w:name w:val="Sangría de texto normal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qFormat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paragraph" w:styleId="P22">
    <w:name w:val="Lista"/>
    <w:basedOn w:val="P0"/>
    <w:next w:val="P22"/>
    <w:pPr>
      <w:ind w:hanging="283" w:left="283"/>
    </w:pPr>
    <w:rPr/>
  </w:style>
  <w:style w:type="paragraph" w:styleId="P23">
    <w:name w:val="H2"/>
    <w:basedOn w:val="P0"/>
    <w:next w:val="P0"/>
    <w:pPr>
      <w:keepNext w:val="1"/>
      <w:spacing w:before="100" w:after="100"/>
      <w:outlineLvl w:val="2"/>
    </w:pPr>
    <w:rPr>
      <w:b w:val="1"/>
      <w:sz w:val="36"/>
    </w:rPr>
  </w:style>
  <w:style w:type="paragraph" w:styleId="P24">
    <w:name w:val="Blockquote"/>
    <w:basedOn w:val="P0"/>
    <w:next w:val="P24"/>
    <w:pPr>
      <w:spacing w:before="100" w:after="100"/>
      <w:ind w:left="360" w:right="360"/>
    </w:pPr>
    <w:rPr/>
  </w:style>
  <w:style w:type="paragraph" w:styleId="P25">
    <w:name w:val="Texto independiente 21"/>
    <w:basedOn w:val="P0"/>
    <w:next w:val="P25"/>
    <w:pPr>
      <w:suppressAutoHyphens w:val="1"/>
    </w:pPr>
    <w:rPr>
      <w:rFonts w:ascii="Arial" w:hAnsi="Arial"/>
      <w:sz w:val="22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basedOn w:val="C3"/>
    <w:qFormat/>
    <w:rPr>
      <w:b w:val="1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a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2010-03-25T14:58:00Z</dcterms:created>
  <cp:lastModifiedBy>Ethan Puglia</cp:lastModifiedBy>
  <cp:lastPrinted>2010-03-19T14:14:00Z</cp:lastPrinted>
  <dcterms:modified xsi:type="dcterms:W3CDTF">2019-03-28T17:34:19Z</dcterms:modified>
  <cp:revision>8</cp:revision>
  <dc:title>PROYECTO DE ORDENANZA VIOLENCIA FAMILIAR</dc:title>
</cp:coreProperties>
</file>