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FB0092" Type="http://schemas.openxmlformats.org/officeDocument/2006/relationships/officeDocument" Target="/word/document.xml" /><Relationship Id="coreR63FB009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8586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deberán preservar los derechos de los trabajadores, sin comprometer el equilibrio presupuestario y financiero del Estado Municipal;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Gobierno Municipal nunca negó la posibilidad de mejora en los salarios de los trabajadores, pero sin descuidar su importante e ineludible obligación, que es responder ante la ciudadanía de Alta Gracia prestando los servicios por los cuales ésta tributa;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siguiendo esta tesitura se arribó a un acuerdo con el SI.TRA.M.A.G. con el fin de incorporar un incremento salarial al sueldo básico de todo el personal comprendido en el Artículo 3º, de la Ordenanza Nº 2147/89 y Decreto Nº 208/91 y sus modificatorias “Estatuto y Reglamento del Empleado Municipal”, de PESOS CINCUENTA ($50,oo) en cada uno de los meses que se detallan a continuación: Julio, Agosto y Setiembre de 2010, sin aplicar  el  Anexo  I de la Ordenanza Nº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3519/97 y sus modificatorias “Escalafón Municipal”; Octubre, Noviembre y Diciembre de 2010, aplicando el Anexo mencionado;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caso de que la situación económica de la Municipalidad no permita afrontar el pago de haberes con este incremento, ambas partes se comprometen a sentarse en una mesa de diálogo para evaluar la forma de pago. En el caso particular del SI.TRA.M.A.G se compromete a no hacer uso de retenciones de servicios, paros, huelgas y/o asambleas, durante los siete (7) días posteriores a la fecha prevista para el pago de haberes. La Municipalidad se compromete a avisar sobre la imposibilidad de pago, con una antelación mínima de siete (7) días de la fecha de vencimiento del pago de haberes;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totalidad de los Concejales presentes, se resuelve, por Mayoría, su aprobación en Sesión Ordinaria del día 25 de Marzo de 2010.- 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2"/>
        <w:ind w:left="561"/>
        <w:rPr>
          <w:rStyle w:val="C3"/>
          <w:b w:val="1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color w:val="000000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OTÓRGASE</w:t>
      </w:r>
      <w:r>
        <w:rPr>
          <w:rStyle w:val="C3"/>
          <w:rFonts w:ascii="Courier New" w:hAnsi="Courier New"/>
        </w:rPr>
        <w:t xml:space="preserve"> un incremento de haberes de PESOS CINCUENTA ($50,oo.-), que se incorporará al sueldo básico aplicando el Anexo I de la Ordenanza Nº 3519/97 y sus modificatorias “Escalafón Municipal”, para el período Noviembre de 2010,  a todo el personal bajo el ámbito de aplicación del Artículo 3º, de la Ordenanza Nº 2147/89 y Decreto Nº 208/91 y sus modificatorias “Estatuto y Reglamento del Empleado Municipal.-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113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20"/>
        <w:ind w:hanging="374" w:left="374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tabs>
          <w:tab w:val="left" w:pos="1460" w:leader="none"/>
        </w:tabs>
        <w:jc w:val="both"/>
      </w:pPr>
      <w:r>
        <w:tab/>
      </w:r>
    </w:p>
    <w:p>
      <w:pPr>
        <w:pStyle w:val="P17"/>
      </w:pPr>
      <w:r>
        <w:t xml:space="preserve">DADA EN LA SALA DE SESIONES DEL HONORABLE CONCEJO DELIBERANTE A LOS VEINTICINCO DÍAS DEL MES DE MARZO DEL AÑO DOS MIL DIEZ.- </w:t>
      </w:r>
    </w:p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2010-03-25T15:33:00Z</dcterms:created>
  <cp:lastModifiedBy>Ethan Puglia</cp:lastModifiedBy>
  <cp:lastPrinted>2010-03-19T14:14:00Z</cp:lastPrinted>
  <dcterms:modified xsi:type="dcterms:W3CDTF">2019-03-28T17:34:19Z</dcterms:modified>
  <cp:revision>5</cp:revision>
  <dc:title>PROYECTO DE ORDENANZA VIOLENCIA FAMILIAR</dc:title>
</cp:coreProperties>
</file>