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CB386E8" Type="http://schemas.openxmlformats.org/officeDocument/2006/relationships/officeDocument" Target="/word/document.xml" /><Relationship Id="coreR3CB386E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N° 8589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Ordenanza Tarifaria N° 8531, la oficina de procuración, la gestión de cobranza extrajudicial; y</w:t>
      </w:r>
    </w:p>
    <w:p>
      <w:pPr>
        <w:pStyle w:val="P15"/>
        <w:tabs>
          <w:tab w:val="clear" w:pos="4252" w:leader="none"/>
          <w:tab w:val="clear" w:pos="8504" w:leader="none"/>
        </w:tabs>
        <w:rPr>
          <w:rStyle w:val="C3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/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Dirección de Ingresos Públicos a través de la mencionada oficina realiza gestiones extrajudiciales de cobranza de las tasas pendientes de pago por parte de los contribuyentes;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necesario, oportuno y conveniente regular dichas acciones en la Ordenanza en cuestión;</w:t>
      </w: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</w:t>
      </w: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Proyecto de Ordenanza por la totalidad de los Concejales presentes, se resuelve por unanimidad su aprobación en Sesión Ordinaria del día 25 de Marzo de 2010.- 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2"/>
        <w:ind w:left="561"/>
        <w:rPr>
          <w:rStyle w:val="C3"/>
          <w:b w:val="1"/>
        </w:rPr>
      </w:pPr>
    </w:p>
    <w:p>
      <w:pPr>
        <w:pStyle w:val="P12"/>
        <w:ind w:left="561"/>
        <w:jc w:val="right"/>
        <w:rPr>
          <w:rStyle w:val="C3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 INCORPORASE</w:t>
      </w:r>
      <w:r>
        <w:rPr>
          <w:rStyle w:val="C3"/>
          <w:rFonts w:ascii="Courier New" w:hAnsi="Courier New"/>
        </w:rPr>
        <w:t xml:space="preserve">  en la Ordenanza Tarifaria Nº 8531 como Art.33º Bis, dentro del rubro Gestión de cobranza extrajudicial el siguiente texto: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“Art.33 Bis: Por la gestión de cobranza extrajudicial que realice la Municipalidad a través de la Oficina de Procuración por cualquiera de los tributos se cobrara hasta la suma de PESOS………………………….$100.00”.-</w:t>
      </w:r>
    </w:p>
    <w:p>
      <w:pPr>
        <w:pStyle w:val="P20"/>
        <w:ind w:hanging="374" w:left="374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20"/>
        <w:ind w:hanging="374" w:left="374"/>
        <w:jc w:val="both"/>
        <w:rPr>
          <w:rStyle w:val="C3"/>
          <w:sz w:val="24"/>
        </w:rPr>
      </w:pP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>: 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20"/>
        <w:tabs>
          <w:tab w:val="left" w:pos="1460" w:leader="none"/>
        </w:tabs>
        <w:jc w:val="both"/>
      </w:pPr>
      <w:r>
        <w:tab/>
      </w:r>
    </w:p>
    <w:p>
      <w:pPr>
        <w:pStyle w:val="P17"/>
      </w:pPr>
      <w:r>
        <w:t xml:space="preserve">DADA EN LA SALA DE SESIONES DEL HONORABLE CONCEJO DELIBERANTE A LOS VEINTICINCO DÍAS DEL MES DE MARZO DEL AÑO DOS MIL DIEZ.- </w:t>
      </w:r>
    </w:p>
    <w:sectPr>
      <w:type w:val="nextPage"/>
      <w:pgSz w:w="11906" w:h="16838" w:code="0"/>
      <w:pgMar w:left="1701" w:right="170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2010-03-26T10:31:00Z</dcterms:created>
  <cp:lastModifiedBy>Ethan Puglia</cp:lastModifiedBy>
  <cp:lastPrinted>2010-03-19T14:14:00Z</cp:lastPrinted>
  <dcterms:modified xsi:type="dcterms:W3CDTF">2019-03-28T17:34:19Z</dcterms:modified>
  <cp:revision>5</cp:revision>
  <dc:title>PROYECTO DE ORDENANZA VIOLENCIA FAMILIAR</dc:title>
</cp:coreProperties>
</file>