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A83F43C" Type="http://schemas.openxmlformats.org/officeDocument/2006/relationships/officeDocument" Target="/word/document.xml" /><Relationship Id="coreR4A83F43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Pr>
      </w:pPr>
    </w:p>
    <w:p>
      <w:pPr>
        <w:pStyle w:val="P4"/>
      </w:pPr>
      <w:r>
        <w:t>ORDENANZA N° 8595</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1728/09;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Que a través del mismo y mediante nota, la Abogada Mat. 1­24043, Ma. Graciela González, apoderada de los propietarios del inmueble Designación Catastral 01­01­101­028, cta. N°00000346, solicita en nombre de sus mandantes eximición de deuda de la Tasa por Servicios a la Propiedad del inmueble de mención;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acredita personería con copia certificada de escritura</w:t>
      </w:r>
      <w:r>
        <w:rPr>
          <w:rStyle w:val="C3"/>
          <w:rFonts w:ascii="Courier New" w:hAnsi="Courier New"/>
          <w:b w:val="1"/>
        </w:rPr>
        <w:t xml:space="preserve"> </w:t>
      </w:r>
      <w:r>
        <w:rPr>
          <w:rStyle w:val="C3"/>
          <w:rFonts w:ascii="Courier New" w:hAnsi="Courier New"/>
        </w:rPr>
        <w:t>69</w:t>
      </w:r>
      <w:r>
        <w:rPr>
          <w:rStyle w:val="C3"/>
          <w:rFonts w:ascii="Courier New" w:hAnsi="Courier New"/>
          <w:b w:val="1"/>
        </w:rPr>
        <w:t>-</w:t>
      </w:r>
      <w:r>
        <w:rPr>
          <w:rStyle w:val="C3"/>
          <w:rFonts w:ascii="Courier New" w:hAnsi="Courier New"/>
        </w:rPr>
        <w:t>Sec.B de fecha 5 de Mayo de 2009 (Fs.4/5);</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dicho inmueble funcionó durante varios años la Clínica Privada central SRL, luego la Clínica del Centro Privada SRL;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debieron ambas instituciones sortear numerosos conflictos laborales y sociales con marcada repercusión pública mereciendo la participación del gobierno Municipal y Provincial;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se fundamentan las diversas dificultades e inconvenientes  que padecieron los propietarios y los empleados en un meduloso y pormenorizado historial, historial que el Estado Municipal conoce en profundidad;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merced a acuerdos logrados entre todos los actores involucrados, la prestación de un servicio social muy importante como es el de la atención de la salud cuenta en la actualidad con una institución que se suma a los fines de mejorar la calidad de vida de los altagracienses;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rPr>
          <w:rStyle w:val="C3"/>
          <w:rFonts w:ascii="JaneAusten" w:hAnsi="JaneAusten"/>
          <w:b w:val="1"/>
          <w:sz w:val="24"/>
        </w:rPr>
      </w:pPr>
    </w:p>
    <w:p>
      <w:pPr>
        <w:ind w:left="113"/>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31 de Marzo de 2010.- </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 xml:space="preserve">al Departamento Ejecutivo a percibir la deuda que en concepto de Tasa por Servicios a la Propiedad correspondiente a la Identificación 00000346 mantiene con la Municipalidad de la ciudad de Alta Gracia a la fecha de promulgación de la presente con anticipo del DIEZ POR CIENTO (10%) y el remanente  en plan de 24 cuotas, con vencimiento la primera de ellas en Septiembre de 2010, a valores históricos, sin actualización ni intereses, debiendo sus propietarios regularizar los honorarios y gastos emergentes de la procuración de dicha deuda a los profesionales abogados intervinientes.-</w:t>
      </w:r>
    </w:p>
    <w:p>
      <w:pPr>
        <w:ind w:hanging="374" w:left="374"/>
        <w:jc w:val="both"/>
        <w:rPr>
          <w:rStyle w:val="C3"/>
          <w:rFonts w:ascii="Courier New" w:hAnsi="Courier New"/>
        </w:rPr>
      </w:pPr>
    </w:p>
    <w:p>
      <w:pPr>
        <w:pStyle w:val="P20"/>
        <w:ind w:hanging="374" w:left="374"/>
        <w:jc w:val="both"/>
        <w:rPr>
          <w:rStyle w:val="C3"/>
          <w:sz w:val="24"/>
        </w:rPr>
      </w:pPr>
      <w:r>
        <w:rPr>
          <w:rStyle w:val="C3"/>
          <w:b w:val="1"/>
          <w:sz w:val="24"/>
          <w:u w:val="single"/>
        </w:rPr>
        <w:t>Art.</w:t>
      </w:r>
      <w:r>
        <w:rPr>
          <w:rStyle w:val="C3"/>
          <w:b w:val="1"/>
          <w:sz w:val="24"/>
          <w:u w:val="single"/>
        </w:rPr>
        <w: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TREINTA Y UN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2010-04-05T14:45:00Z</dcterms:created>
  <cp:lastModifiedBy>Ethan Puglia</cp:lastModifiedBy>
  <cp:lastPrinted>2010-04-05T14:41:00Z</cp:lastPrinted>
  <dcterms:modified xsi:type="dcterms:W3CDTF">2019-03-28T17:34:19Z</dcterms:modified>
  <cp:revision>8</cp:revision>
  <dc:title>PROYECTO DE ORDENANZA VIOLENCIA FAMILIAR</dc:title>
</cp:coreProperties>
</file>