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1DEF2D3" Type="http://schemas.openxmlformats.org/officeDocument/2006/relationships/officeDocument" Target="/word/document.xml" /><Relationship Id="coreR21DEF2D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8603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1147/09;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</w:pPr>
      <w:r>
        <w:t>C O N S I D E R A N D O</w:t>
      </w:r>
    </w:p>
    <w:p/>
    <w:p/>
    <w:p>
      <w:pPr>
        <w:pStyle w:val="P11"/>
        <w:ind w:left="600"/>
      </w:pPr>
      <w:r>
        <w:t>Que a través del mismo y mediante nota la Sra. Castro Vanesa Soledad, solicita exención por deuda que en concepto de Tasa por Servicios a la Propiedad, mantiene con la Municipalidad de Alta Gracia el inmueble Designación Catastral 04-01-137-06;</w:t>
      </w:r>
    </w:p>
    <w:p>
      <w:pPr>
        <w:pStyle w:val="P11"/>
        <w:ind w:left="600"/>
      </w:pPr>
    </w:p>
    <w:p>
      <w:pPr>
        <w:pStyle w:val="P11"/>
        <w:ind w:left="600"/>
      </w:pPr>
      <w:r>
        <w:t>Que del Relevamiento Socioeconómico y Ambiental se desprende que es un hogar extenso inserto en el sistema productivo a través del trabajo informal, siendo Castro Vanesa y Lanzieri Silvana beneficiarias de módulo alimentario y cuota alimentaria;</w:t>
      </w:r>
    </w:p>
    <w:p>
      <w:pPr>
        <w:pStyle w:val="P11"/>
        <w:ind w:left="600"/>
      </w:pPr>
    </w:p>
    <w:p>
      <w:pPr>
        <w:pStyle w:val="P11"/>
        <w:ind w:left="600"/>
      </w:pPr>
      <w:r>
        <w:t xml:space="preserve">Que a Fs.9 a 19, consta documentación que acredita posesión de ocho años, de la propiedad donde reside;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Comisión de Hacienda, la misma emite despacho favorable, aprobado por unanimidad en Sesión Ordinaria del día 07 de Abril de 2010.- </w:t>
      </w:r>
    </w:p>
    <w:p>
      <w:pPr>
        <w:ind w:left="374"/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1"/>
        <w:ind w:hanging="360" w:left="360"/>
        <w:rPr>
          <w:rStyle w:val="C3"/>
          <w:b w:val="1"/>
          <w:u w:val="single"/>
        </w:rPr>
      </w:pPr>
    </w:p>
    <w:p>
      <w:pPr>
        <w:pStyle w:val="P11"/>
        <w:ind w:hanging="360" w:left="360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ESTABLÉCESE</w:t>
      </w:r>
      <w:r>
        <w:t xml:space="preserve"> que por cada cuota de la deuda actual abonada en término en concepto de Tasa por Servicios a la Propiedad, EXIMIR SEIS (6) cuotas de la deuda anterior.-</w:t>
      </w:r>
    </w:p>
    <w:p>
      <w:pPr>
        <w:ind w:hanging="374" w:left="37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CONDICIÓNAS</w:t>
      </w:r>
      <w:r>
        <w:rPr>
          <w:rStyle w:val="C3"/>
          <w:rFonts w:ascii="Courier New" w:hAnsi="Courier New"/>
          <w:b w:val="1"/>
        </w:rPr>
        <w:t xml:space="preserve">E </w:t>
      </w:r>
      <w:r>
        <w:rPr>
          <w:rStyle w:val="C3"/>
          <w:rFonts w:ascii="Courier New" w:hAnsi="Courier New"/>
        </w:rPr>
        <w:t>que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la falta de pago de TRES (3) cuotas consecutivas o alternadas, así como la transferencia o cambio de titularidad del inmueble, hará caducar automáticamente los beneficios precedentemente concedidos.-</w:t>
      </w:r>
    </w:p>
    <w:p>
      <w:pPr>
        <w:ind w:left="374"/>
        <w:rPr>
          <w:rStyle w:val="C3"/>
          <w:rFonts w:ascii="Courier New" w:hAnsi="Courier New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SIETE DÍAS DEL MES DE ABRIL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2010-04-12T10:50:00Z</dcterms:created>
  <cp:lastModifiedBy>Ethan Puglia</cp:lastModifiedBy>
  <cp:lastPrinted>2010-04-12T10:59:00Z</cp:lastPrinted>
  <dcterms:modified xsi:type="dcterms:W3CDTF">2019-03-28T17:34:20Z</dcterms:modified>
  <cp:revision>9</cp:revision>
  <dc:title>PROYECTO DE ORDENANZA VIOLENCIA FAMILIAR</dc:title>
</cp:coreProperties>
</file>