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14D8535" Type="http://schemas.openxmlformats.org/officeDocument/2006/relationships/officeDocument" Target="/word/document.xml" /><Relationship Id="coreR614D853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N° 8604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567/I/07;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pStyle w:val="P11"/>
        <w:ind w:left="600"/>
      </w:pPr>
      <w:r>
        <w:t>Que a través del mismo y mediante nota, la Sra. Sosa Blanca Adriana DNI: 10.731.556, solicita exención de deuda en concepto de Tasa por Servicios a la Propiedad que recae sobre el inmueble Designación Catastral 01-01-377-002 Cta. 28463;</w:t>
      </w:r>
    </w:p>
    <w:p>
      <w:pPr>
        <w:pStyle w:val="P11"/>
        <w:ind w:left="600"/>
      </w:pPr>
    </w:p>
    <w:p>
      <w:pPr>
        <w:pStyle w:val="P11"/>
        <w:ind w:left="600"/>
      </w:pPr>
      <w:r>
        <w:t>Que a Fs.10, obra informe de deuda emitido por la Dirección de Ingresos Públicos, en el que se observa que la deuda a pasado a situación judicial;</w:t>
      </w:r>
    </w:p>
    <w:p>
      <w:pPr>
        <w:pStyle w:val="P11"/>
        <w:ind w:left="600"/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correspondiente Relevamiento Socioeconómico y Ambiental se desprende que la Sra. Sosa reside junto a su hijo, el cual realiza trabajos esporádicos de albañilería y Jardinería, y su esposo el cual se desempeña como ayudante de carpintería;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Comisión de Hacienda, la misma emite despacho favorable, aprobado por unanimidad en Sesión Ordinaria del día 14 de Abril de 2010.- </w:t>
      </w:r>
    </w:p>
    <w:p>
      <w:pPr>
        <w:ind w:left="374"/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1"/>
        <w:ind w:hanging="360" w:left="360"/>
        <w:rPr>
          <w:rStyle w:val="C3"/>
          <w:b w:val="1"/>
          <w:u w:val="single"/>
        </w:rPr>
      </w:pPr>
    </w:p>
    <w:p>
      <w:pPr>
        <w:pStyle w:val="P11"/>
        <w:ind w:hanging="360" w:left="360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 xml:space="preserve">AUTORÍZASE </w:t>
      </w:r>
      <w:r>
        <w:t>al Departamento Ejecutivo a realizar plan de cuotas, a valores históricos y sin intereses, acorde a sus posibilidades sobre la deuda que en concepto de Tasa por Servicios a la Propiedad recae sobre el inmueble Designación Catastral 01-01-377-002 Cta. 28463.-</w:t>
      </w:r>
    </w:p>
    <w:p>
      <w:pPr>
        <w:ind w:hanging="374" w:left="374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374" w:left="374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ESTABLECESE </w:t>
      </w:r>
      <w:r>
        <w:rPr>
          <w:rStyle w:val="C3"/>
          <w:rFonts w:ascii="Courier New" w:hAnsi="Courier New"/>
        </w:rPr>
        <w:t>la falta de pago de TRES (3) cuotas consecutivas o alternadas, así como la transferencia o cambio de titularidad del inmueble, hará caducar automáticamente los beneficios precedentemente concedidos.-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 que interceda ante el o los procuradores actuantes a fin de dejar sin efecto el juicio iniciado por percibir el cobro de las tasas y honorarios correspondientes.-</w:t>
      </w: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CATORCE DÍAS DEL MES DE ABRIL DEL AÑO DOS MIL DIEZ.-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2010-04-14T13:39:00Z</dcterms:created>
  <cp:lastModifiedBy>Ethan Puglia</cp:lastModifiedBy>
  <cp:lastPrinted>2010-04-12T10:59:00Z</cp:lastPrinted>
  <dcterms:modified xsi:type="dcterms:W3CDTF">2019-03-28T17:34:20Z</dcterms:modified>
  <cp:revision>8</cp:revision>
  <dc:title>PROYECTO DE ORDENANZA VIOLENCIA FAMILIAR</dc:title>
</cp:coreProperties>
</file>