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4E4725" Type="http://schemas.openxmlformats.org/officeDocument/2006/relationships/officeDocument" Target="/word/document.xml" /><Relationship Id="coreR94E472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8608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1962/09;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1"/>
        <w:ind w:left="600"/>
      </w:pPr>
      <w:r>
        <w:t>Que a través del mismo y mediante nota, el Sr. Sebastián Romero, DNI 30.772.038 y la Sra. Varas Fanny Noemí DNI 29.189.397, solicitando exención de la deuda correspondiente a Tasa por Servicio a la Propiedad que mantiene con la Municipalidad de Alta Gracia el Inmueble Designación Catastral 03-01-07-018 Cta. 13021;</w:t>
      </w:r>
    </w:p>
    <w:p>
      <w:pPr>
        <w:pStyle w:val="P11"/>
        <w:ind w:left="600"/>
      </w:pPr>
    </w:p>
    <w:p>
      <w:pPr>
        <w:pStyle w:val="P11"/>
        <w:ind w:left="600"/>
      </w:pPr>
      <w:r>
        <w:t>Que el inmueble en cuestión fue adquirido con mucho esfuerzo, adeudando al momento de la compra la mencionada Tasa Municipal;</w:t>
      </w:r>
    </w:p>
    <w:p>
      <w:pPr>
        <w:pStyle w:val="P11"/>
        <w:ind w:left="600"/>
      </w:pPr>
    </w:p>
    <w:p>
      <w:pPr>
        <w:pStyle w:val="P11"/>
        <w:ind w:left="600"/>
      </w:pPr>
      <w:r>
        <w:t>Que del Relevamiento Socioeconómico y Ambiental, se desprende que el grupo familiar está compuesto por ambos solicitantes, perciben ingresos del trabajo informal y formal;</w:t>
      </w:r>
    </w:p>
    <w:p>
      <w:pPr>
        <w:pStyle w:val="P11"/>
        <w:ind w:left="600"/>
      </w:pPr>
      <w:r>
        <w:t xml:space="preserve">  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Comisión de Hacienda, la misma emite despacho favorable, aprobado por unanimidad en Sesión Ordinaria del día 14 de Abril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1"/>
        <w:ind w:hanging="360" w:left="360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ESTABLÉCESE</w:t>
      </w:r>
      <w:r>
        <w:t xml:space="preserve"> que por cada cuota de la deuda actual abonada en término en concepto de Tasa por Servicios a la Propiedad, correspondiente a la Designación Catastral 03-01-07-018 Cta. 13021, EXIMIR SEIS (6) cuotas de la deuda anterior.-</w:t>
      </w:r>
    </w:p>
    <w:p>
      <w:pPr>
        <w:pStyle w:val="P22"/>
        <w:ind w:hanging="360" w:left="360"/>
        <w:contextualSpacing w:val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CONDICIÓNASE </w:t>
      </w:r>
      <w:r>
        <w:rPr>
          <w:rStyle w:val="C3"/>
          <w:rFonts w:ascii="Courier New" w:hAnsi="Courier New"/>
        </w:rPr>
        <w:t>que la falta de pago de TRES (3) cuotas consecutivas o alternadas, así como la transferencia o cambio de titularidad del inmueble, hará caducar automáticamente los beneficios precedentemente concedidos.-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CATORCE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2010-04-15T10:55:00Z</dcterms:created>
  <cp:lastModifiedBy>Ethan Puglia</cp:lastModifiedBy>
  <cp:lastPrinted>2010-04-15T10:47:00Z</cp:lastPrinted>
  <dcterms:modified xsi:type="dcterms:W3CDTF">2019-03-28T17:34:20Z</dcterms:modified>
  <cp:revision>5</cp:revision>
  <dc:title>PROYECTO DE ORDENANZA VIOLENCIA FAMILIAR</dc:title>
</cp:coreProperties>
</file>