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B12B4E" Type="http://schemas.openxmlformats.org/officeDocument/2006/relationships/officeDocument" Target="/word/document.xml" /><Relationship Id="coreR5AB12B4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8612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300/09; y</w:t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1"/>
        <w:ind w:left="600"/>
      </w:pPr>
      <w:r>
        <w:t>Que a través del mismo y mediante nota, la Sra. Nancy Lorena Dignani DNI 16.840.102 solicita eximición de la deuda que en concepto de Tasa por Servicios a la Propiedad, mantiene con la Municipalidad de Alta Gracia el inmueble Designación Catastral 04-02-174-6 Cta. 3737;</w:t>
      </w:r>
    </w:p>
    <w:p>
      <w:pPr>
        <w:pStyle w:val="P11"/>
        <w:ind w:left="600"/>
      </w:pPr>
    </w:p>
    <w:p>
      <w:pPr>
        <w:pStyle w:val="P11"/>
        <w:ind w:left="600"/>
      </w:pPr>
      <w:r>
        <w:t>Que la Sra. Dignani, es viuda del Sr. Ángel Aníbal María Feliu, titular del inmueble;</w:t>
      </w:r>
    </w:p>
    <w:p>
      <w:pPr>
        <w:pStyle w:val="P11"/>
        <w:ind w:left="600"/>
      </w:pPr>
    </w:p>
    <w:p>
      <w:pPr>
        <w:pStyle w:val="P11"/>
        <w:ind w:left="600"/>
      </w:pPr>
      <w:r>
        <w:t>Que del Relevamiento Socioeconómico y Ambiental se desprende que es una familia extensa; la Sra. Dignani se desempaña en tareas dentro del municipio en el comedor Anacleto Oviedo, siendo este su único ingreso estable;</w:t>
      </w:r>
    </w:p>
    <w:p>
      <w:pPr>
        <w:pStyle w:val="P11"/>
        <w:ind w:left="600"/>
      </w:pPr>
    </w:p>
    <w:p>
      <w:pPr>
        <w:pStyle w:val="P11"/>
        <w:ind w:left="600"/>
      </w:pPr>
      <w:r>
        <w:t xml:space="preserve">Que analizado el Expediente de referencia por la Comisión de Hacienda, la misma emite despacho favorable, aprobado por unanimidad en Sesión Ordinaria del día 21 de Abril de 2010.- </w:t>
      </w:r>
    </w:p>
    <w:p>
      <w:pPr>
        <w:ind w:left="600"/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 xml:space="preserve">al Departamento Ejecutivo realizar plan de pagos acorde  a sus posibilidades, a valores históricos sin intereses, actualizaciones un recargos, por la deuda no prescripta que a la fecha de promulgación de la presente posea en concepto de Tasa por Servicios a la Propiedad el inmueble designación catastral  04-02-174-6 Cta. 3737.-</w:t>
      </w:r>
    </w:p>
    <w:p>
      <w:pPr>
        <w:pStyle w:val="P22"/>
        <w:ind w:hanging="360" w:left="360"/>
        <w:contextualSpacing w:val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ESTABLECER</w:t>
      </w:r>
      <w:r>
        <w:rPr>
          <w:rStyle w:val="C3"/>
          <w:rFonts w:ascii="Courier New" w:hAnsi="Courier New"/>
        </w:rPr>
        <w:t xml:space="preserve"> que la falta de pago de TRES (3) cuotas consecutivas o alternadas,  así como la transferencia o cambio de titularidad del inmueble, hará caducar automáticamente los beneficios precedentemente concedidos.-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el o los procuradores actuantes a fin de dejar sin efecto el o los juicios iniciados y los honorarios generados.-</w:t>
      </w:r>
    </w:p>
    <w:p>
      <w:pPr>
        <w:ind w:hanging="360" w:left="360"/>
        <w:jc w:val="both"/>
        <w:rPr>
          <w:rStyle w:val="C3"/>
          <w:u w:val="single"/>
        </w:rPr>
      </w:pPr>
      <w:r>
        <w:t xml:space="preserve">    </w:t>
      </w: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2010-04-22T10:56:00Z</dcterms:created>
  <cp:lastModifiedBy>Ethan Puglia</cp:lastModifiedBy>
  <cp:lastPrinted>2010-04-16T12:37:00Z</cp:lastPrinted>
  <dcterms:modified xsi:type="dcterms:W3CDTF">2019-03-28T17:34:20Z</dcterms:modified>
  <cp:revision>5</cp:revision>
  <dc:title>PROYECTO DE ORDENANZA VIOLENCIA FAMILIAR</dc:title>
</cp:coreProperties>
</file>