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ADEB9" Type="http://schemas.openxmlformats.org/officeDocument/2006/relationships/officeDocument" Target="/word/document.xml" /><Relationship Id="coreR37ADE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8613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1237/08; y</w:t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600"/>
      </w:pPr>
      <w:r>
        <w:t>Que mediante el mismo la Sra. María Haydee Herczog solicita eximición de deuda de Tasa por Servicios a la Propiedad por el inmueble Designación Catastral 03-01-290-03;</w:t>
      </w:r>
    </w:p>
    <w:p>
      <w:pPr>
        <w:pStyle w:val="P11"/>
        <w:ind w:left="600"/>
      </w:pPr>
    </w:p>
    <w:p>
      <w:pPr>
        <w:pStyle w:val="P11"/>
        <w:ind w:left="600"/>
      </w:pPr>
      <w:r>
        <w:t>Que posee el inmueble por donación otorgada mediante Ordenanza Nº 6530 de fecha 25 de Septiembre de 2003;</w:t>
      </w:r>
    </w:p>
    <w:p>
      <w:pPr>
        <w:pStyle w:val="P11"/>
        <w:ind w:left="600"/>
      </w:pPr>
    </w:p>
    <w:p>
      <w:pPr>
        <w:pStyle w:val="P11"/>
        <w:ind w:left="600"/>
      </w:pPr>
      <w:r>
        <w:t>Que la mencionada Ordenanza establece que la beneficiaria debe abonar las cargas tributarias que graven el inmueble “desde la fecha de la donación”;</w:t>
      </w:r>
    </w:p>
    <w:p>
      <w:pPr>
        <w:pStyle w:val="P11"/>
        <w:ind w:left="600"/>
      </w:pPr>
    </w:p>
    <w:p>
      <w:pPr>
        <w:pStyle w:val="P11"/>
        <w:ind w:left="600"/>
      </w:pPr>
      <w:r>
        <w:t>Que la deuda reclamada abarca períodos anteriores a la fecha de donación;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la solicitante posee tarifa social de luz y  recibe módulo alimentario; </w:t>
      </w:r>
    </w:p>
    <w:p>
      <w:pPr>
        <w:pStyle w:val="P11"/>
        <w:ind w:left="600"/>
      </w:pPr>
      <w:r>
        <w:t xml:space="preserve">   </w:t>
      </w:r>
    </w:p>
    <w:p>
      <w:pPr>
        <w:pStyle w:val="P11"/>
        <w:ind w:left="600"/>
      </w:pPr>
      <w:r>
        <w:t xml:space="preserve">Que el Relevamiento Socioeconómico y Ambiental indica que la solicitante no posee ingresos y que su acompañante se desempeña realizando changas laborales como albañil; 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analizado el Expediente de referencia por la Comisión de Hacienda, la misma emite despacho favorable, aprobado por unanimidad en Sesión Ordinaria del día 21 de Abril de 2010.- </w:t>
      </w:r>
    </w:p>
    <w:p>
      <w:pPr>
        <w:ind w:left="600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jc w:val="right"/>
      </w:pPr>
      <w: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CONDÓ</w:t>
      </w:r>
      <w:r>
        <w:rPr>
          <w:rStyle w:val="C3"/>
          <w:rFonts w:ascii="Courier New" w:hAnsi="Courier New"/>
          <w:b w:val="1"/>
        </w:rPr>
        <w:t>NA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la deuda correspondiente a la Designación Catastral 03-01-290-003 Cta. 10739 hasta la fecha de  promulgación de la Ordenanza Nº 6530.-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</w:t>
      </w:r>
      <w:r>
        <w:rPr>
          <w:rStyle w:val="C3"/>
          <w:rFonts w:ascii="Courier New" w:hAnsi="Courier New"/>
          <w:b w:val="1"/>
        </w:rPr>
        <w:t>ECESE</w:t>
      </w:r>
      <w:r>
        <w:rPr>
          <w:rStyle w:val="C3"/>
          <w:rFonts w:ascii="Courier New" w:hAnsi="Courier New"/>
        </w:rPr>
        <w:t xml:space="preserve"> que por cada cuota actual abonada en término en concepto de Tasa por Servicios a la Propiedad, correspondiente a la Designación Catastral 03-01-290-003 Cta. 10739, EXIMIR SEIS (6) cuotas de la deuda posterior a la promulgación de la Ordenanza Nº 6530.-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CONDICIÓNASE</w:t>
      </w:r>
      <w:r>
        <w:rPr>
          <w:rStyle w:val="C3"/>
          <w:rFonts w:ascii="Courier New" w:hAnsi="Courier New"/>
        </w:rPr>
        <w:t xml:space="preserve"> que la falta de pago de TRES (3) cuotas  consecutivas o alternadas,  así como la transferencia o cambio de titularidad del inmueble, hará caducar automáticamente los beneficios precedentemente concedidos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generados.-</w:t>
      </w:r>
    </w:p>
    <w:p>
      <w:pPr>
        <w:ind w:hanging="360" w:left="360"/>
        <w:jc w:val="both"/>
        <w:rPr>
          <w:rStyle w:val="C3"/>
          <w:u w:val="single"/>
        </w:rPr>
      </w:pPr>
      <w:r>
        <w:t xml:space="preserve">    </w:t>
      </w: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2010-04-22T11:28:00Z</dcterms:created>
  <cp:lastModifiedBy>Ethan Puglia</cp:lastModifiedBy>
  <cp:lastPrinted>2010-04-22T11:04:00Z</cp:lastPrinted>
  <dcterms:modified xsi:type="dcterms:W3CDTF">2019-03-28T17:34:20Z</dcterms:modified>
  <cp:revision>6</cp:revision>
  <dc:title>PROYECTO DE ORDENANZA VIOLENCIA FAMILIAR</dc:title>
</cp:coreProperties>
</file>