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C17402" Type="http://schemas.openxmlformats.org/officeDocument/2006/relationships/officeDocument" Target="/word/document.xml" /><Relationship Id="coreR70C1740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8615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602/00; y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</w:pPr>
      <w:r>
        <w:t>Que a través del mismo la Sra. López Dora Servita, DNI 7.164.407 solicita eximición de la deuda que en concepto de Tasa por Servicios a la Propiedad, mantiene con la Municipalidad de Alta Gracia el inmueble Designación Catastral 03-01-285-004 Cta. 18568 y por Tasa por Administración y Mantenimiento de los Cementerios de la Identificación 7149;</w:t>
      </w:r>
    </w:p>
    <w:p>
      <w:pPr>
        <w:pStyle w:val="P11"/>
      </w:pPr>
    </w:p>
    <w:p>
      <w:pPr>
        <w:pStyle w:val="P11"/>
      </w:pPr>
      <w:r>
        <w:t>Que a Fs.8, con fecha 29 de Febrero del 2000, obra Estudio Socioeconómico realizado por la Lic. Silvina Bassola mediante el cual se sugiere la eximición del CIEN POR CIENTO (100%) de la deuda;</w:t>
      </w:r>
    </w:p>
    <w:p>
      <w:pPr>
        <w:pStyle w:val="P11"/>
      </w:pPr>
    </w:p>
    <w:p>
      <w:pPr>
        <w:pStyle w:val="P11"/>
      </w:pPr>
      <w:r>
        <w:t xml:space="preserve">Que mediante Resolución 395/00 (Fs.15), la Dirección de Ingresos Públicos exime el CIEN POR CIENTO (100%) de las respectivas deudas por los períodos 98/01 y 2000 inclusive, en el caso de Tasa por Servicios a la Propiedad y  96/03 y 2000 inclusive por Tasa por Administración y Mantenimiento de los Cementerios;</w:t>
      </w:r>
    </w:p>
    <w:p>
      <w:pPr>
        <w:pStyle w:val="P11"/>
      </w:pPr>
    </w:p>
    <w:p>
      <w:pPr>
        <w:pStyle w:val="P11"/>
      </w:pPr>
      <w:r>
        <w:t>Que a Fs.16, consta petición de la Sra. López, solicitando nuevamente la exención de ambas Tasas Municipales;</w:t>
      </w:r>
    </w:p>
    <w:p>
      <w:pPr>
        <w:pStyle w:val="P11"/>
      </w:pPr>
    </w:p>
    <w:p>
      <w:pPr>
        <w:pStyle w:val="P11"/>
      </w:pPr>
      <w:r>
        <w:t>Que realizado nuevo Relevamiento Socioeconómico y Ambiental, (Fs.23,) se desprende que la Sra. López habita con su hijo, nieta y bisnieta; cuenta con una pensión contributiva, siendo esta su única fuente de ingreso;</w:t>
      </w:r>
    </w:p>
    <w:p>
      <w:pPr>
        <w:pStyle w:val="P11"/>
        <w:jc w:val="right"/>
      </w:pPr>
      <w:r>
        <w:t>...///</w:t>
      </w: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pStyle w:val="P11"/>
      </w:pPr>
    </w:p>
    <w:p>
      <w:pPr>
        <w:pStyle w:val="P11"/>
        <w:ind w:left="600"/>
      </w:pPr>
    </w:p>
    <w:p>
      <w:pPr>
        <w:pStyle w:val="P11"/>
        <w:ind w:left="600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600"/>
        <w:rPr>
          <w:rStyle w:val="C3"/>
        </w:rPr>
      </w:pPr>
    </w:p>
    <w:p>
      <w:pPr>
        <w:pStyle w:val="P11"/>
        <w:ind w:left="600"/>
      </w:pPr>
      <w:r>
        <w:t>Que a Fs.26 obra estado de deuda de la identificación 7149, en el cual se observa que gran parte de la deuda ha pasado a situación judicial;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de Fs. 27 a 28,  consta estado de deuda de la Designación Catastral 03-01-285-004, en cual también se puede observar que gran parte ha pasado a situación judicial;</w:t>
      </w:r>
    </w:p>
    <w:p>
      <w:pPr>
        <w:pStyle w:val="P11"/>
        <w:ind w:left="600"/>
      </w:pPr>
    </w:p>
    <w:p>
      <w:pPr>
        <w:pStyle w:val="P11"/>
        <w:ind w:left="600"/>
      </w:pPr>
      <w:r>
        <w:t>Que en un tercer Relevamiento Socioeconómico y Ambiental, se observa que la Sra. López mantiene su mala situación económica, ubicándose por debajo de la línea de la pobreza;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Fs.33 se encuentra nueva nota solicitando exención de ambas Tasas;</w:t>
      </w:r>
    </w:p>
    <w:p>
      <w:pPr>
        <w:pStyle w:val="P11"/>
        <w:ind w:left="600"/>
        <w:rPr>
          <w:rStyle w:val="C3"/>
        </w:rPr>
      </w:pPr>
    </w:p>
    <w:p>
      <w:pPr>
        <w:pStyle w:val="P11"/>
        <w:ind w:left="600"/>
      </w:pPr>
      <w:r>
        <w:t xml:space="preserve">Que analizado el Expediente de referencia por la Comisión de Hacienda, la misma emite despacho favorable, aprobado por unanimidad en Sesión Ordinaria del día 21 de Abril de 2010.- </w:t>
      </w:r>
    </w:p>
    <w:p>
      <w:pPr>
        <w:ind w:left="600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EXIMIR el CIEN POR CIENTO (100%) de la deuda que hasta la promulgación de la presente y en concepto de Tasa por Servicios a la propiedad mantiene con la Municipalidad de Alta Gracia el Inmueble Designación Catastral 03-01-285-004 – Cta.18568.-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ASE</w:t>
      </w:r>
      <w:r>
        <w:rPr>
          <w:rStyle w:val="C3"/>
          <w:rFonts w:ascii="Courier New" w:hAnsi="Courier New"/>
        </w:rPr>
        <w:t xml:space="preserve"> el CIEN POR CIENTO (100%) de la deuda que hasta la promulgación de la presente y en concepto de Tasa por Administración y Mantenimiento de los Cementerios mantiene con la Municipalidad de Alta Gracia la Identificación 7149.-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el o los procuradores actuantes a fin de dejar sin efecto el o los juicios iniciados y los honorarios generados.-</w:t>
      </w:r>
    </w:p>
    <w:p>
      <w:pPr>
        <w:ind w:hanging="360" w:left="360"/>
        <w:jc w:val="both"/>
        <w:rPr>
          <w:rStyle w:val="C3"/>
          <w:u w:val="single"/>
        </w:rPr>
      </w:pPr>
      <w:r>
        <w:t xml:space="preserve">    </w:t>
      </w: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2010-04-22T12:14:00Z</dcterms:created>
  <cp:lastModifiedBy>Ethan Puglia</cp:lastModifiedBy>
  <cp:lastPrinted>2010-04-22T12:07:00Z</cp:lastPrinted>
  <dcterms:modified xsi:type="dcterms:W3CDTF">2019-03-28T17:34:20Z</dcterms:modified>
  <cp:revision>7</cp:revision>
  <dc:title>PROYECTO DE ORDENANZA VIOLENCIA FAMILIAR</dc:title>
</cp:coreProperties>
</file>