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47E11" Type="http://schemas.openxmlformats.org/officeDocument/2006/relationships/officeDocument" Target="/word/document.xml" /><Relationship Id="coreR2947E1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8616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775/I/07; y</w:t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1"/>
        <w:ind w:left="600"/>
      </w:pPr>
      <w:r>
        <w:t>Qua a través del mismo y mediante nota, el Sr. José Luis Sosa, DNI 6.435.585, solicita plan acorde a sus posibilidades, por la deuda que en concepto de Tasa por Servicios a la Propiedad, mantiene con la Municipalidad el inmueble Designación Catastral 01-01-131-04 – Cta.529 y por Tasa por Administración y Mantenimiento de los Cementerios de la Identificación 421;</w:t>
      </w:r>
    </w:p>
    <w:p>
      <w:pPr>
        <w:pStyle w:val="P11"/>
        <w:ind w:left="600"/>
      </w:pPr>
    </w:p>
    <w:p>
      <w:pPr>
        <w:pStyle w:val="P11"/>
        <w:ind w:left="600"/>
      </w:pPr>
      <w:r>
        <w:t>Que a Fs.24, obra el correspondiente Relevamiento Socioeconómico y Ambiental en el cual se observa que es una familia extensa inserta en el sistema productivo a través del trabajo informal, obteniendo, además, recursos monetarios mediante transferencias formales, como son las jubilaciones del Sr. Sosa y su esposa;</w:t>
      </w:r>
    </w:p>
    <w:p>
      <w:pPr>
        <w:pStyle w:val="P11"/>
        <w:ind w:left="600"/>
      </w:pPr>
    </w:p>
    <w:p>
      <w:pPr>
        <w:pStyle w:val="P11"/>
        <w:ind w:left="600"/>
      </w:pPr>
      <w:r>
        <w:t>Que gran parte de las deudas han entrado a situación judicial;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1"/>
        <w:ind w:left="600"/>
      </w:pPr>
      <w:r>
        <w:t xml:space="preserve">Que analizado el Expediente de referencia por la Comisión de Hacienda, la misma emite despacho favorable, aprobado por unanimidad en Sesión Ordinaria del día 21 de Abril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ESTABLÉCESE</w:t>
      </w:r>
      <w:r>
        <w:rPr>
          <w:rStyle w:val="C3"/>
          <w:rFonts w:ascii="Courier New" w:hAnsi="Courier New"/>
        </w:rPr>
        <w:t xml:space="preserve"> que por cada cuota de la deuda actual abonada en término en concepto de Tasa por Servicios a la Propiedad, del inmueble designación catastral  01-01-131-04 – Cta.529, EXIMIR SEIS (6) cuotas de la deuda.-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ESTABLÉCESE</w:t>
      </w:r>
      <w:r>
        <w:rPr>
          <w:rStyle w:val="C3"/>
          <w:rFonts w:ascii="Courier New" w:hAnsi="Courier New"/>
        </w:rPr>
        <w:t xml:space="preserve"> que por cada cuota de la deuda actual abonada en término en concepto de Administración y Mantenimiento de los Cementerios  la identificación 421, EXIMIR SEIS (6) de la deuda anterior.-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CONDICIONAR</w:t>
      </w:r>
      <w:r>
        <w:rPr>
          <w:rStyle w:val="C3"/>
          <w:rFonts w:ascii="Courier New" w:hAnsi="Courier New"/>
        </w:rPr>
        <w:t xml:space="preserve"> que en ambos casos la falta de pago de TRES (3) cuotas consecutivas o alternadas, así como la transferencia o cambio de titularidad del inmueble, hará caducar automáticamente los  beneficios precedentemente concedidos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el o los procuradores actuantes a fin de dejar sin efecto el o los juicios iniciados y los honorarios generados.-</w:t>
      </w:r>
    </w:p>
    <w:p>
      <w:pPr>
        <w:ind w:hanging="360" w:left="360"/>
        <w:jc w:val="both"/>
        <w:rPr>
          <w:rStyle w:val="C3"/>
          <w:u w:val="single"/>
        </w:rPr>
      </w:pPr>
      <w:r>
        <w:t xml:space="preserve">    </w:t>
      </w: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2010-04-22T12:39:00Z</dcterms:created>
  <cp:lastModifiedBy>Ethan Puglia</cp:lastModifiedBy>
  <cp:lastPrinted>2010-04-22T12:27:00Z</cp:lastPrinted>
  <dcterms:modified xsi:type="dcterms:W3CDTF">2019-03-28T17:34:20Z</dcterms:modified>
  <cp:revision>7</cp:revision>
  <dc:title>PROYECTO DE ORDENANZA VIOLENCIA FAMILIAR</dc:title>
</cp:coreProperties>
</file>