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252F46E" Type="http://schemas.openxmlformats.org/officeDocument/2006/relationships/officeDocument" Target="/word/document.xml" /><Relationship Id="coreR1252F46E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6"/>
        <w:ind w:hanging="454" w:left="567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“2010 Año del Bicentenario de la Revolución de Mayo”</w:t>
      </w:r>
    </w:p>
    <w:p>
      <w:pPr>
        <w:pStyle w:val="P4"/>
        <w:rPr>
          <w:rStyle w:val="C3"/>
        </w:rPr>
      </w:pPr>
    </w:p>
    <w:p>
      <w:pPr>
        <w:pStyle w:val="P4"/>
        <w:rPr>
          <w:rStyle w:val="C3"/>
        </w:rPr>
      </w:pPr>
    </w:p>
    <w:p>
      <w:pPr>
        <w:pStyle w:val="P4"/>
      </w:pPr>
      <w:r>
        <w:t>ORDENANZA N° 8618</w:t>
      </w: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La necesidad de brindar cobertura y atención a turistas y visitantes ante emergencias medicas; y</w:t>
      </w:r>
    </w:p>
    <w:p>
      <w:pPr>
        <w:pStyle w:val="P2"/>
        <w:rPr>
          <w:rStyle w:val="C3"/>
        </w:rPr>
      </w:pPr>
    </w:p>
    <w:p>
      <w:pPr>
        <w:pStyle w:val="P2"/>
        <w:rPr>
          <w:rStyle w:val="C3"/>
        </w:rPr>
      </w:pPr>
    </w:p>
    <w:p>
      <w:pPr>
        <w:pStyle w:val="P2"/>
      </w:pPr>
      <w:r>
        <w:t>C O N S I D E R A N D O</w:t>
      </w:r>
    </w:p>
    <w:p/>
    <w:p/>
    <w:p>
      <w:pPr>
        <w:ind w:left="600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desde el año 2003, la ciudad ha experimentado un sensible incremento de plazas hoteleras, en sus variadas modalidades, incluyendo las casas, departamentos de alquiler y los B&amp;B, debidamente normados por legislación municipal;</w:t>
      </w:r>
    </w:p>
    <w:p>
      <w:pPr>
        <w:ind w:left="600"/>
        <w:jc w:val="both"/>
        <w:rPr>
          <w:rStyle w:val="C3"/>
          <w:rFonts w:ascii="Courier New" w:hAnsi="Courier New"/>
        </w:rPr>
      </w:pPr>
    </w:p>
    <w:p>
      <w:pPr>
        <w:ind w:left="600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su vez tal circunstancia conlleva y según se ha registrado, un notorio incremento de pernoctación y estadías en los establecimientos de mención;</w:t>
      </w:r>
    </w:p>
    <w:p>
      <w:pPr>
        <w:ind w:left="600"/>
        <w:jc w:val="both"/>
        <w:rPr>
          <w:rStyle w:val="C3"/>
          <w:rFonts w:ascii="Courier New" w:hAnsi="Courier New"/>
        </w:rPr>
      </w:pPr>
    </w:p>
    <w:p>
      <w:pPr>
        <w:ind w:left="600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también es destacable el importante incremento en la cantidad de establecimientos destinados a la gastronomía potenciando  y posicionando la ciudad como un excelente polo  en el rubro; </w:t>
      </w:r>
    </w:p>
    <w:p>
      <w:pPr>
        <w:ind w:left="600"/>
        <w:jc w:val="both"/>
        <w:rPr>
          <w:rStyle w:val="C3"/>
          <w:rFonts w:ascii="Courier New" w:hAnsi="Courier New"/>
        </w:rPr>
      </w:pPr>
    </w:p>
    <w:p>
      <w:pPr>
        <w:ind w:left="600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es necesario, oportuno y conveniente resguardar en su integridad a los turistas que pernoctan y  visitan nuestra ciudad;</w:t>
      </w:r>
    </w:p>
    <w:p>
      <w:pPr>
        <w:ind w:left="600"/>
        <w:jc w:val="both"/>
        <w:rPr>
          <w:rStyle w:val="C3"/>
          <w:rFonts w:ascii="Courier New" w:hAnsi="Courier New"/>
        </w:rPr>
      </w:pPr>
    </w:p>
    <w:p>
      <w:pPr>
        <w:ind w:left="600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si bien, el solaz es la convocatoria, no por ello, los visitantes están exentos de sufrir algún tipo de indisposición que requiera de la atención e inmediata asistencia médica;</w:t>
      </w:r>
    </w:p>
    <w:p>
      <w:pPr>
        <w:ind w:left="600"/>
        <w:jc w:val="both"/>
        <w:rPr>
          <w:rStyle w:val="C3"/>
          <w:rFonts w:ascii="Courier New" w:hAnsi="Courier New"/>
        </w:rPr>
      </w:pPr>
    </w:p>
    <w:p>
      <w:pPr>
        <w:ind w:left="600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es imprescindible dotar al sistema de alojamientos, restaurantes y bares de la ciudad de Alta Gracia, en cualquiera de sus modalidades, de un Área Protegida para el huésped, cualquiera sea la emergencia que padezca;</w:t>
      </w:r>
    </w:p>
    <w:p>
      <w:pPr>
        <w:pStyle w:val="P16"/>
        <w:ind w:left="600"/>
        <w:jc w:val="right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0"/>
          <w:sz w:val="24"/>
        </w:rPr>
        <w:t>...///</w:t>
      </w:r>
    </w:p>
    <w:p>
      <w:pPr>
        <w:pStyle w:val="P16"/>
        <w:ind w:left="600"/>
        <w:jc w:val="both"/>
        <w:rPr>
          <w:rStyle w:val="C3"/>
          <w:rFonts w:ascii="Courier New" w:hAnsi="Courier New"/>
          <w:b w:val="1"/>
          <w:sz w:val="24"/>
        </w:rPr>
      </w:pPr>
    </w:p>
    <w:p>
      <w:pPr>
        <w:pStyle w:val="P16"/>
        <w:ind w:left="600"/>
        <w:jc w:val="both"/>
        <w:rPr>
          <w:rStyle w:val="C3"/>
          <w:rFonts w:ascii="Courier New" w:hAnsi="Courier New"/>
          <w:b w:val="1"/>
          <w:sz w:val="24"/>
        </w:rPr>
      </w:pPr>
    </w:p>
    <w:p>
      <w:pPr>
        <w:pStyle w:val="P16"/>
        <w:ind w:left="600"/>
        <w:jc w:val="both"/>
        <w:rPr>
          <w:rStyle w:val="C3"/>
          <w:rFonts w:ascii="Courier New" w:hAnsi="Courier New"/>
          <w:b w:val="1"/>
          <w:sz w:val="24"/>
        </w:rPr>
      </w:pPr>
    </w:p>
    <w:p>
      <w:pPr>
        <w:pStyle w:val="P16"/>
        <w:ind w:left="600"/>
        <w:jc w:val="both"/>
        <w:rPr>
          <w:rStyle w:val="C3"/>
          <w:rFonts w:ascii="Courier New" w:hAnsi="Courier New"/>
          <w:b w:val="1"/>
          <w:sz w:val="24"/>
        </w:rPr>
      </w:pPr>
    </w:p>
    <w:p>
      <w:pPr>
        <w:pStyle w:val="P16"/>
        <w:ind w:left="600"/>
        <w:jc w:val="both"/>
        <w:rPr>
          <w:rStyle w:val="C3"/>
          <w:rFonts w:ascii="Courier New" w:hAnsi="Courier New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“2010 Año del Bicentenario de la Revolución de Mayo”</w:t>
      </w:r>
    </w:p>
    <w:p>
      <w:pPr>
        <w:pStyle w:val="P22"/>
        <w:ind w:hanging="360" w:left="360"/>
        <w:contextualSpacing w:val="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22"/>
        <w:ind w:hanging="360" w:left="360"/>
        <w:contextualSpacing w:val="1"/>
        <w:jc w:val="both"/>
        <w:rPr>
          <w:rStyle w:val="C3"/>
          <w:rFonts w:ascii="Courier New" w:hAnsi="Courier New"/>
        </w:rPr>
      </w:pPr>
    </w:p>
    <w:p>
      <w:pPr>
        <w:pStyle w:val="P22"/>
        <w:ind w:hanging="360" w:left="360"/>
        <w:contextualSpacing w:val="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ind w:left="600"/>
        <w:jc w:val="both"/>
        <w:rPr>
          <w:rStyle w:val="C3"/>
          <w:rFonts w:ascii="Courier New" w:hAnsi="Courier New"/>
        </w:rPr>
      </w:pPr>
    </w:p>
    <w:p>
      <w:pPr>
        <w:pStyle w:val="P11"/>
        <w:ind w:left="600"/>
      </w:pPr>
      <w:r>
        <w:t xml:space="preserve">Que analizado el Proyecto de Ordenanza por el Concejo en Comisión, se resuelve por unanimidad, su aprobación en Sesión Ordinaria del día 21 de Abril de 2010.- 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rPr>
          <w:rStyle w:val="C3"/>
          <w:b w:val="1"/>
        </w:rPr>
      </w:pPr>
      <w:r>
        <w:rPr>
          <w:rStyle w:val="C3"/>
          <w:b w:val="1"/>
        </w:rPr>
        <w:t xml:space="preserve">    ALTA GRACIA SANCIONA CON FUERZA DE ORDENANZA</w:t>
      </w:r>
    </w:p>
    <w:p>
      <w:pPr>
        <w:pStyle w:val="P22"/>
        <w:ind w:hanging="360" w:left="360"/>
        <w:contextualSpacing w:val="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22"/>
        <w:ind w:hanging="360" w:left="360"/>
        <w:contextualSpacing w:val="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22"/>
        <w:ind w:hanging="360" w:left="360"/>
        <w:contextualSpacing w:val="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1"/>
        </w:rPr>
        <w:t>ESTABLÉCESE</w:t>
      </w:r>
      <w:r>
        <w:rPr>
          <w:rStyle w:val="C3"/>
          <w:rFonts w:ascii="Courier New" w:hAnsi="Courier New"/>
        </w:rPr>
        <w:t xml:space="preserve"> con carácter obligatorio, la exigencia a todos los  establecimientos que brindan alojamiento en todas sus formas y  a restaurantes y bares, celebrar y acreditar “Contrato de Adhesión  a un Sistema de Servicios y Emergencias Médicas”, a los fines de brindar la correspondiente cobertura a quienes utilicen las instalaciones de mención.-</w:t>
      </w:r>
    </w:p>
    <w:p>
      <w:pPr>
        <w:jc w:val="both"/>
        <w:rPr>
          <w:rStyle w:val="C3"/>
          <w:rFonts w:ascii="Courier New" w:hAnsi="Courier New"/>
        </w:rPr>
      </w:pPr>
    </w:p>
    <w:p>
      <w:pPr>
        <w:ind w:hanging="360" w:left="360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Art.2</w:t>
      </w:r>
      <w:r>
        <w:rPr>
          <w:rStyle w:val="C3"/>
          <w:rFonts w:ascii="Courier New" w:hAnsi="Courier New"/>
          <w:b w:val="1"/>
        </w:rPr>
        <w:t>: INCLÚYASE</w:t>
      </w:r>
      <w:r>
        <w:rPr>
          <w:rStyle w:val="C3"/>
          <w:rFonts w:ascii="Courier New" w:hAnsi="Courier New"/>
        </w:rPr>
        <w:t xml:space="preserve"> lo dispuesto en el precepto anterior a todos los establecimientos que brindan alojamiento turístico, (Bed &amp; Breackfast, Departamentos y Casas de Alquiler Ordenanza N° 7098 y 7099, y a Restaurantes y bares, Ordenanza N° 2441) inscriptos en el registro municipal, y exíjase a quienes en un futuro soliciten habilitación y se encuentren comprendidos en las ordenanzas de referencia.­ </w:t>
      </w:r>
    </w:p>
    <w:p>
      <w:pPr>
        <w:jc w:val="both"/>
        <w:rPr>
          <w:rStyle w:val="C3"/>
          <w:rFonts w:ascii="Courier New" w:hAnsi="Courier New"/>
        </w:rPr>
      </w:pPr>
    </w:p>
    <w:p>
      <w:pPr>
        <w:ind w:hanging="360" w:left="360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Art.3</w:t>
      </w:r>
      <w:r>
        <w:rPr>
          <w:rStyle w:val="C3"/>
          <w:rFonts w:ascii="Courier New" w:hAnsi="Courier New"/>
          <w:b w:val="1"/>
        </w:rPr>
        <w:t>: BRÍNDESE</w:t>
      </w:r>
      <w:r>
        <w:rPr>
          <w:rStyle w:val="C3"/>
          <w:rFonts w:ascii="Courier New" w:hAnsi="Courier New"/>
        </w:rPr>
        <w:t xml:space="preserve"> debida noticia a  través de las  oficinas de información turística, mediante registros y números telefónicos de emergencias, a cerca de las Prestadoras  del “Sistema de Servicios y Emergencias Médicas” con la que cuenta cada establecimiento.-</w:t>
      </w:r>
    </w:p>
    <w:p>
      <w:pPr>
        <w:ind w:hanging="360" w:left="360"/>
        <w:jc w:val="both"/>
        <w:rPr>
          <w:rStyle w:val="C3"/>
          <w:rFonts w:ascii="Courier New" w:hAnsi="Courier New"/>
        </w:rPr>
      </w:pPr>
    </w:p>
    <w:p>
      <w:pPr>
        <w:ind w:hanging="360" w:left="360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ind w:hanging="360" w:left="360"/>
        <w:jc w:val="both"/>
        <w:rPr>
          <w:rStyle w:val="C3"/>
          <w:rFonts w:ascii="Courier New" w:hAnsi="Courier New"/>
        </w:rPr>
      </w:pPr>
    </w:p>
    <w:p>
      <w:pPr>
        <w:ind w:hanging="360" w:left="360"/>
        <w:jc w:val="both"/>
        <w:rPr>
          <w:rStyle w:val="C3"/>
          <w:rFonts w:ascii="Courier New" w:hAnsi="Courier New"/>
        </w:rPr>
      </w:pPr>
    </w:p>
    <w:p>
      <w:pPr>
        <w:ind w:hanging="360" w:left="360"/>
        <w:jc w:val="both"/>
        <w:rPr>
          <w:rStyle w:val="C3"/>
          <w:rFonts w:ascii="Courier New" w:hAnsi="Courier New"/>
        </w:rPr>
      </w:pPr>
    </w:p>
    <w:p>
      <w:pPr>
        <w:ind w:hanging="360" w:left="360"/>
        <w:jc w:val="both"/>
        <w:rPr>
          <w:rStyle w:val="C3"/>
          <w:rFonts w:ascii="Courier New" w:hAnsi="Courier New"/>
        </w:rPr>
      </w:pPr>
    </w:p>
    <w:p>
      <w:pPr>
        <w:ind w:hanging="360" w:left="360"/>
        <w:jc w:val="both"/>
        <w:rPr>
          <w:rStyle w:val="C3"/>
          <w:rFonts w:ascii="Courier New" w:hAnsi="Courier New"/>
        </w:rPr>
      </w:pPr>
    </w:p>
    <w:p>
      <w:pPr>
        <w:ind w:hanging="360" w:left="360"/>
        <w:jc w:val="both"/>
        <w:rPr>
          <w:rStyle w:val="C3"/>
          <w:rFonts w:ascii="Courier New" w:hAnsi="Courier New"/>
        </w:rPr>
      </w:pPr>
    </w:p>
    <w:p>
      <w:pPr>
        <w:ind w:hanging="360" w:left="360"/>
        <w:jc w:val="both"/>
        <w:rPr>
          <w:rStyle w:val="C3"/>
          <w:rFonts w:ascii="Courier New" w:hAnsi="Courier New"/>
        </w:rPr>
      </w:pPr>
    </w:p>
    <w:p>
      <w:pPr>
        <w:ind w:hanging="360" w:left="360"/>
        <w:jc w:val="both"/>
        <w:rPr>
          <w:rStyle w:val="C3"/>
          <w:rFonts w:ascii="Courier New" w:hAnsi="Courier New"/>
        </w:rPr>
      </w:pPr>
    </w:p>
    <w:p>
      <w:pPr>
        <w:pStyle w:val="P16"/>
        <w:ind w:left="113"/>
        <w:jc w:val="center"/>
        <w:rPr>
          <w:rStyle w:val="C3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“2010 Año del Bicentenario de la Revolución de Mayo”</w:t>
      </w:r>
    </w:p>
    <w:p>
      <w:pPr>
        <w:pStyle w:val="P22"/>
        <w:ind w:hanging="360" w:left="360"/>
        <w:contextualSpacing w:val="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22"/>
        <w:ind w:hanging="360" w:left="360"/>
        <w:contextualSpacing w:val="1"/>
        <w:jc w:val="both"/>
        <w:rPr>
          <w:rStyle w:val="C3"/>
          <w:rFonts w:ascii="Courier New" w:hAnsi="Courier New"/>
        </w:rPr>
      </w:pPr>
    </w:p>
    <w:p>
      <w:pPr>
        <w:pStyle w:val="P22"/>
        <w:ind w:hanging="360" w:left="360"/>
        <w:contextualSpacing w:val="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...///3.-</w:t>
      </w:r>
    </w:p>
    <w:p>
      <w:pPr>
        <w:ind w:hanging="360" w:left="360"/>
        <w:jc w:val="both"/>
        <w:rPr>
          <w:rStyle w:val="C3"/>
          <w:rFonts w:ascii="Courier New" w:hAnsi="Courier New"/>
        </w:rPr>
      </w:pPr>
    </w:p>
    <w:p>
      <w:pPr>
        <w:pStyle w:val="P20"/>
        <w:ind w:hanging="540" w:left="540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Art.4:</w:t>
      </w:r>
      <w:r>
        <w:rPr>
          <w:rStyle w:val="C3"/>
          <w:b w:val="1"/>
          <w:sz w:val="24"/>
        </w:rPr>
        <w:t xml:space="preserve"> EXÍJASE </w:t>
      </w:r>
      <w:r>
        <w:rPr>
          <w:rStyle w:val="C3"/>
          <w:sz w:val="24"/>
        </w:rPr>
        <w:t xml:space="preserve">a los establecimientos comprendidos en  la presente ordenanza, la exhibición de carteles en tamaño y lugar a determinar mediante Resolución de la autoridad de aplicación, con la leyenda que a continuación se detalla:</w:t>
      </w:r>
    </w:p>
    <w:p>
      <w:pPr>
        <w:pStyle w:val="P20"/>
        <w:ind w:hanging="540" w:left="540"/>
        <w:jc w:val="both"/>
        <w:rPr>
          <w:rStyle w:val="C3"/>
          <w:sz w:val="24"/>
        </w:rPr>
      </w:pPr>
    </w:p>
    <w:p>
      <w:pPr>
        <w:pStyle w:val="P20"/>
        <w:pBdr>
          <w:top w:val="single" w:sz="4" w:space="0" w:shadow="0" w:frame="0"/>
          <w:left w:val="single" w:sz="4" w:space="0" w:shadow="0" w:frame="0"/>
          <w:bottom w:val="single" w:sz="4" w:space="0" w:shadow="0" w:frame="0"/>
          <w:right w:val="single" w:sz="4" w:space="0" w:shadow="0" w:frame="0"/>
        </w:pBdr>
        <w:jc w:val="center"/>
        <w:rPr>
          <w:rStyle w:val="C3"/>
          <w:b w:val="1"/>
          <w:i w:val="1"/>
          <w:sz w:val="24"/>
          <w:u w:val="single"/>
        </w:rPr>
      </w:pPr>
    </w:p>
    <w:p>
      <w:pPr>
        <w:pStyle w:val="P20"/>
        <w:pBdr>
          <w:top w:val="single" w:sz="4" w:space="0" w:shadow="0" w:frame="0"/>
          <w:left w:val="single" w:sz="4" w:space="0" w:shadow="0" w:frame="0"/>
          <w:bottom w:val="single" w:sz="4" w:space="0" w:shadow="0" w:frame="0"/>
          <w:right w:val="single" w:sz="4" w:space="0" w:shadow="0" w:frame="0"/>
        </w:pBdr>
        <w:jc w:val="center"/>
        <w:rPr>
          <w:rStyle w:val="C3"/>
          <w:b w:val="1"/>
          <w:i w:val="1"/>
          <w:sz w:val="24"/>
        </w:rPr>
      </w:pPr>
      <w:r>
        <w:rPr>
          <w:rStyle w:val="C3"/>
          <w:b w:val="1"/>
          <w:i w:val="1"/>
          <w:sz w:val="24"/>
        </w:rPr>
        <w:t xml:space="preserve">“Establecimiento protegido ante emergencias medicas” </w:t>
      </w:r>
    </w:p>
    <w:p>
      <w:pPr>
        <w:pStyle w:val="P20"/>
        <w:pBdr>
          <w:top w:val="single" w:sz="4" w:space="0" w:shadow="0" w:frame="0"/>
          <w:left w:val="single" w:sz="4" w:space="0" w:shadow="0" w:frame="0"/>
          <w:bottom w:val="single" w:sz="4" w:space="0" w:shadow="0" w:frame="0"/>
          <w:right w:val="single" w:sz="4" w:space="0" w:shadow="0" w:frame="0"/>
        </w:pBdr>
        <w:jc w:val="center"/>
        <w:rPr>
          <w:rStyle w:val="C3"/>
          <w:b w:val="1"/>
          <w:i w:val="1"/>
          <w:sz w:val="24"/>
        </w:rPr>
      </w:pPr>
      <w:r>
        <w:rPr>
          <w:rStyle w:val="C3"/>
          <w:b w:val="1"/>
          <w:i w:val="1"/>
          <w:sz w:val="24"/>
        </w:rPr>
        <w:t xml:space="preserve">Empresa……    TE. Nº……</w:t>
      </w:r>
    </w:p>
    <w:p>
      <w:pPr>
        <w:pStyle w:val="P20"/>
        <w:pBdr>
          <w:top w:val="single" w:sz="4" w:space="0" w:shadow="0" w:frame="0"/>
          <w:left w:val="single" w:sz="4" w:space="0" w:shadow="0" w:frame="0"/>
          <w:bottom w:val="single" w:sz="4" w:space="0" w:shadow="0" w:frame="0"/>
          <w:right w:val="single" w:sz="4" w:space="0" w:shadow="0" w:frame="0"/>
        </w:pBdr>
        <w:jc w:val="center"/>
        <w:rPr>
          <w:rStyle w:val="C3"/>
          <w:b w:val="1"/>
          <w:i w:val="1"/>
          <w:sz w:val="24"/>
          <w:u w:val="single"/>
        </w:rPr>
      </w:pPr>
      <w:r>
        <w:rPr>
          <w:rStyle w:val="C3"/>
          <w:b w:val="1"/>
          <w:i w:val="1"/>
          <w:sz w:val="24"/>
          <w:u w:val="single"/>
        </w:rPr>
        <w:t>Ordenanza N° 8618</w:t>
      </w:r>
    </w:p>
    <w:p>
      <w:pPr>
        <w:pStyle w:val="P20"/>
        <w:pBdr>
          <w:top w:val="single" w:sz="4" w:space="0" w:shadow="0" w:frame="0"/>
          <w:left w:val="single" w:sz="4" w:space="0" w:shadow="0" w:frame="0"/>
          <w:bottom w:val="single" w:sz="4" w:space="0" w:shadow="0" w:frame="0"/>
          <w:right w:val="single" w:sz="4" w:space="0" w:shadow="0" w:frame="0"/>
        </w:pBdr>
        <w:jc w:val="center"/>
        <w:rPr>
          <w:rStyle w:val="C3"/>
          <w:b w:val="1"/>
          <w:i w:val="1"/>
          <w:sz w:val="24"/>
          <w:u w:val="single"/>
        </w:rPr>
      </w:pPr>
      <w:r>
        <w:rPr>
          <w:rStyle w:val="C3"/>
          <w:b w:val="1"/>
          <w:i w:val="1"/>
          <w:sz w:val="24"/>
          <w:u w:val="single"/>
        </w:rPr>
        <w:t>Municipalidad de la ciudad de Alta Gracia</w:t>
      </w:r>
    </w:p>
    <w:p>
      <w:pPr>
        <w:pStyle w:val="P20"/>
        <w:pBdr>
          <w:top w:val="single" w:sz="4" w:space="0" w:shadow="0" w:frame="0"/>
          <w:left w:val="single" w:sz="4" w:space="0" w:shadow="0" w:frame="0"/>
          <w:bottom w:val="single" w:sz="4" w:space="0" w:shadow="0" w:frame="0"/>
          <w:right w:val="single" w:sz="4" w:space="0" w:shadow="0" w:frame="0"/>
        </w:pBdr>
        <w:jc w:val="center"/>
        <w:rPr>
          <w:rStyle w:val="C3"/>
          <w:b w:val="1"/>
          <w:i w:val="1"/>
          <w:sz w:val="24"/>
          <w:u w:val="single"/>
        </w:rPr>
      </w:pPr>
    </w:p>
    <w:p>
      <w:pPr>
        <w:pStyle w:val="P20"/>
        <w:ind w:hanging="540" w:left="540"/>
        <w:jc w:val="both"/>
        <w:rPr>
          <w:rStyle w:val="C3"/>
          <w:sz w:val="24"/>
        </w:rPr>
      </w:pPr>
    </w:p>
    <w:p>
      <w:pPr>
        <w:ind w:hanging="360" w:left="360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5</w:t>
      </w:r>
      <w:r>
        <w:rPr>
          <w:rStyle w:val="C3"/>
          <w:rFonts w:ascii="Courier New" w:hAnsi="Courier New"/>
          <w:b w:val="1"/>
        </w:rPr>
        <w:t>: 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archívese.- </w:t>
      </w:r>
    </w:p>
    <w:p>
      <w:pPr>
        <w:pStyle w:val="P20"/>
        <w:jc w:val="both"/>
        <w:rPr>
          <w:rStyle w:val="C3"/>
          <w:sz w:val="24"/>
        </w:rPr>
      </w:pP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VEINTIÚN DÍAS DEL MES DE ABRIL DEL AÑO DOS MIL DIEZ.- </w:t>
      </w:r>
    </w:p>
    <w:sectPr>
      <w:type w:val="nextPage"/>
      <w:pgSz w:w="11906" w:h="16838" w:code="0"/>
      <w:pgMar w:left="1701" w:right="1701" w:top="1417" w:bottom="1417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2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3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4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5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4"/>
  </w:num>
  <w:num w:numId="5">
    <w:abstractNumId w:val="5"/>
  </w:num>
  <w:num w:numId="6">
    <w:abstractNumId w:val="0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basedOn w:val="C3"/>
    <w:qFormat/>
    <w:rPr>
      <w:b w:val="1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2010-04-23T08:40:00Z</dcterms:created>
  <cp:lastModifiedBy>Ethan Puglia</cp:lastModifiedBy>
  <cp:lastPrinted>2010-04-23T08:46:00Z</cp:lastPrinted>
  <dcterms:modified xsi:type="dcterms:W3CDTF">2019-03-28T17:34:20Z</dcterms:modified>
  <cp:revision>8</cp:revision>
  <dc:title>PROYECTO DE ORDENANZA VIOLENCIA FAMILIAR</dc:title>
</cp:coreProperties>
</file>