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1D13331" Type="http://schemas.openxmlformats.org/officeDocument/2006/relationships/officeDocument" Target="/word/document.xml" /><Relationship Id="coreR1D13331"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hanging="454" w:left="567"/>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pStyle w:val="P4"/>
        <w:rPr>
          <w:rStyle w:val="C3"/>
        </w:rPr>
      </w:pPr>
    </w:p>
    <w:p>
      <w:pPr>
        <w:pStyle w:val="P4"/>
      </w:pPr>
      <w:r>
        <w:t>ORDENANZA N° 8622</w:t>
      </w:r>
    </w:p>
    <w:p>
      <w:pPr>
        <w:ind w:hanging="561" w:left="561"/>
        <w:jc w:val="both"/>
        <w:rPr>
          <w:rStyle w:val="C3"/>
          <w:rFonts w:ascii="Courier New" w:hAnsi="Courier New"/>
        </w:rPr>
      </w:pPr>
    </w:p>
    <w:p>
      <w:pPr>
        <w:ind w:hanging="561" w:left="561"/>
        <w:jc w:val="both"/>
        <w:rPr>
          <w:rStyle w:val="C3"/>
          <w:rFonts w:ascii="Courier New" w:hAnsi="Courier New"/>
        </w:rPr>
      </w:pPr>
    </w:p>
    <w:p>
      <w:pPr>
        <w:ind w:hanging="561" w:left="561"/>
        <w:jc w:val="both"/>
        <w:rPr>
          <w:rStyle w:val="C3"/>
          <w:rFonts w:ascii="Courier New" w:hAnsi="Courier New"/>
        </w:rPr>
      </w:pPr>
    </w:p>
    <w:p>
      <w:pPr>
        <w:pStyle w:val="P27"/>
        <w:ind w:hanging="567" w:left="567"/>
        <w:jc w:val="both"/>
        <w:rPr>
          <w:rStyle w:val="C3"/>
        </w:rPr>
      </w:pPr>
      <w:r>
        <w:rPr>
          <w:rStyle w:val="C3"/>
          <w:rFonts w:ascii="Courier New" w:hAnsi="Courier New"/>
        </w:rPr>
        <w:t>Visto: El inminente vencimiento del contrato de concesión para la captación, conducción, potabilización, distribución y comercialización del servicio de agua potable y recolección, tratamiento y comercialización del Servicio de desagües cloacales de la Ciudad de Alta Gracia; y</w:t>
      </w:r>
    </w:p>
    <w:p>
      <w:pPr>
        <w:pStyle w:val="P2"/>
        <w:rPr>
          <w:rStyle w:val="C3"/>
        </w:rPr>
      </w:pPr>
    </w:p>
    <w:p>
      <w:pPr>
        <w:pStyle w:val="P2"/>
      </w:pPr>
      <w:r>
        <w:t>C O N S I D E R A N D O</w:t>
      </w:r>
    </w:p>
    <w:p/>
    <w:p/>
    <w:p>
      <w:pPr>
        <w:pStyle w:val="P13"/>
        <w:ind w:firstLine="0" w:left="600"/>
      </w:pPr>
      <w:r>
        <w:t>Que la continuidad de la prestación de estos servicios son de fundamental importancia para la vida y la salud de la población;</w:t>
      </w:r>
    </w:p>
    <w:p>
      <w:pPr>
        <w:pStyle w:val="P13"/>
        <w:ind w:firstLine="0" w:left="600"/>
      </w:pPr>
    </w:p>
    <w:p>
      <w:pPr>
        <w:pStyle w:val="P13"/>
        <w:ind w:firstLine="0" w:left="600"/>
      </w:pPr>
      <w:r>
        <w:t>Que es responsabilidad del Estado Municipal garantizar dicha continuidad y las condiciones técnicas y de calidad de la prestación de los mismos;</w:t>
      </w:r>
    </w:p>
    <w:p>
      <w:pPr>
        <w:pStyle w:val="P13"/>
        <w:ind w:firstLine="0" w:left="600"/>
      </w:pPr>
    </w:p>
    <w:p>
      <w:pPr>
        <w:pStyle w:val="P13"/>
        <w:ind w:firstLine="0" w:left="600"/>
      </w:pPr>
      <w:r>
        <w:t>Que este Honorable Concejo Deliberante se encuentra analizando la forma de la futura prestación, buscando lograr el consenso, instancia fundamental cuando se trata de servicios tan sensibles a la sociedad;</w:t>
      </w:r>
    </w:p>
    <w:p>
      <w:pPr>
        <w:pStyle w:val="P13"/>
        <w:ind w:firstLine="0" w:left="600"/>
      </w:pPr>
    </w:p>
    <w:p>
      <w:pPr>
        <w:pStyle w:val="P13"/>
        <w:ind w:firstLine="0" w:left="600"/>
      </w:pPr>
      <w:r>
        <w:t xml:space="preserve">Que de acuerdo al Art.101º inc.19 de la Carta Orgánica Municipal el Departamento Ejecutivo tiene atribuciones de celebrar contratos o convenios de acuerdo con las autorizaciones concretas o globales expedidas por el Concejo  Deliberante en los casos expresamente establecidos;</w:t>
      </w:r>
    </w:p>
    <w:p>
      <w:pPr>
        <w:pStyle w:val="P13"/>
        <w:ind w:firstLine="0" w:left="600"/>
      </w:pPr>
    </w:p>
    <w:p>
      <w:pPr>
        <w:pStyle w:val="P13"/>
        <w:ind w:firstLine="0" w:left="600"/>
      </w:pPr>
      <w:r>
        <w:t>Que es facultad de este Cuerpo Legislativo, de acuerdo a lo establecido en la Carta Orgánica Municipal Art.79º - inc.11, autorizar la concesión de estos servicios;</w:t>
      </w:r>
    </w:p>
    <w:p>
      <w:pPr>
        <w:pStyle w:val="P13"/>
        <w:ind w:firstLine="0" w:left="600"/>
      </w:pPr>
    </w:p>
    <w:p>
      <w:pPr>
        <w:pStyle w:val="P13"/>
        <w:ind w:firstLine="0" w:left="600"/>
        <w:jc w:val="right"/>
      </w:pPr>
      <w:r>
        <w:t>...///</w:t>
      </w:r>
    </w:p>
    <w:p>
      <w:pPr>
        <w:pStyle w:val="P13"/>
        <w:ind w:firstLine="0" w:left="600"/>
      </w:pPr>
    </w:p>
    <w:p>
      <w:pPr>
        <w:pStyle w:val="P13"/>
        <w:ind w:firstLine="0" w:left="600"/>
      </w:pPr>
    </w:p>
    <w:p>
      <w:pPr>
        <w:pStyle w:val="P13"/>
        <w:ind w:firstLine="0" w:left="600"/>
      </w:pPr>
    </w:p>
    <w:p>
      <w:pPr>
        <w:pStyle w:val="P13"/>
        <w:ind w:firstLine="0" w:left="600"/>
      </w:pPr>
    </w:p>
    <w:p>
      <w:pPr>
        <w:pStyle w:val="P13"/>
        <w:ind w:firstLine="0" w:left="600"/>
      </w:pPr>
    </w:p>
    <w:p>
      <w:pPr>
        <w:pStyle w:val="P13"/>
        <w:ind w:firstLine="0" w:left="600"/>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13"/>
        <w:ind w:firstLine="0" w:left="600"/>
        <w:rPr>
          <w:rStyle w:val="C3"/>
        </w:rPr>
      </w:pPr>
    </w:p>
    <w:p>
      <w:pPr>
        <w:pStyle w:val="P13"/>
        <w:rPr>
          <w:rStyle w:val="C3"/>
        </w:rPr>
      </w:pPr>
    </w:p>
    <w:p>
      <w:pPr>
        <w:pStyle w:val="P13"/>
      </w:pPr>
      <w:r>
        <w:t>...///2.-</w:t>
      </w:r>
    </w:p>
    <w:p>
      <w:pPr>
        <w:pStyle w:val="P13"/>
        <w:ind w:firstLine="0" w:left="600"/>
      </w:pPr>
    </w:p>
    <w:p>
      <w:pPr>
        <w:pStyle w:val="P13"/>
        <w:ind w:firstLine="0" w:left="600"/>
      </w:pPr>
      <w:r>
        <w:t>Que la prestación del servicio de agua es un tema de vital trascendencia para la Ciudad, y requiere una solución basada en el estudio profundo de nuestra realidad y de la observación y análisis de experiencias exitosas de nuestra Provincia y otras partes del País, como por ejemplo la Cooperativa Integral de usuarios de Carlos Paz, la empresa Estatal CRESE de la ciudad de Córdoba, el EMOS de Río Cuarto, el SerMas de la Carlota y el SerMas de Río Segundo;</w:t>
      </w:r>
    </w:p>
    <w:p>
      <w:pPr>
        <w:pStyle w:val="P13"/>
        <w:ind w:firstLine="0" w:left="600"/>
      </w:pPr>
      <w:r>
        <w:t xml:space="preserve">  </w:t>
      </w:r>
    </w:p>
    <w:p>
      <w:pPr>
        <w:pStyle w:val="P13"/>
        <w:ind w:firstLine="0" w:left="600"/>
      </w:pPr>
      <w:r>
        <w:t>Que la precipitación de los tiempos y plazos no se produjeron por la inactividad en el tema, sino al contrario, por la fuerte intervención que tuvo que realizar el Estado Municipal a fin de garantizar los Servicios de mención;</w:t>
      </w:r>
    </w:p>
    <w:p>
      <w:pPr>
        <w:pStyle w:val="P13"/>
        <w:ind w:firstLine="0" w:left="600"/>
      </w:pPr>
    </w:p>
    <w:p>
      <w:pPr>
        <w:pStyle w:val="P13"/>
        <w:ind w:firstLine="0" w:left="600"/>
      </w:pPr>
      <w:r>
        <w:t>Que por otro lado, la labor de la fiscalización de la COSAG, mostró lo que siempre manifestamos: cuando el Estado se hace cargo de su responsabilidad y utiliza los mecanismos de control adecuados, se puede conseguir la mejora en la prestación de los servicios;</w:t>
      </w:r>
    </w:p>
    <w:p>
      <w:pPr>
        <w:pStyle w:val="P13"/>
        <w:ind w:firstLine="0" w:left="600"/>
      </w:pPr>
    </w:p>
    <w:p>
      <w:pPr>
        <w:pStyle w:val="P13"/>
        <w:ind w:firstLine="0" w:left="600"/>
      </w:pPr>
      <w:r>
        <w:t xml:space="preserve">Que estos tres meses deben servir para promover el diálogo con diferentes sectores de la sociedad, que permitan la construcción del consenso necesario respecto a cuál es la mejor alternativa para la prestación del servicio, incluyendo especialmente a los usuarios del mismo;     </w:t>
      </w:r>
    </w:p>
    <w:p>
      <w:pPr>
        <w:pStyle w:val="P13"/>
        <w:ind w:firstLine="0" w:left="600"/>
      </w:pPr>
    </w:p>
    <w:p>
      <w:pPr>
        <w:pStyle w:val="P13"/>
        <w:ind w:firstLine="0" w:left="600"/>
      </w:pPr>
      <w:r>
        <w:t xml:space="preserve">Que insistimos en la necesidad de investigar las supuestas responsabilidades de quienes llevaron a la Cooperativa al estado descripto en los informes resultado de la Fiscalización;   </w:t>
      </w:r>
    </w:p>
    <w:p>
      <w:pPr>
        <w:pStyle w:val="P11"/>
        <w:ind w:left="600"/>
        <w:jc w:val="right"/>
      </w:pPr>
    </w:p>
    <w:p>
      <w:pPr>
        <w:pStyle w:val="P11"/>
        <w:ind w:left="600"/>
        <w:jc w:val="right"/>
      </w:pPr>
      <w:r>
        <w:t>...///</w:t>
      </w:r>
    </w:p>
    <w:p>
      <w:pPr>
        <w:pStyle w:val="P11"/>
        <w:ind w:left="600"/>
      </w:pPr>
    </w:p>
    <w:p>
      <w:pPr>
        <w:pStyle w:val="P11"/>
        <w:ind w:left="600"/>
      </w:pPr>
    </w:p>
    <w:p>
      <w:pPr>
        <w:pStyle w:val="P11"/>
        <w:ind w:left="600"/>
      </w:pPr>
    </w:p>
    <w:p>
      <w:pPr>
        <w:pStyle w:val="P11"/>
        <w:ind w:left="600"/>
      </w:pPr>
    </w:p>
    <w:p>
      <w:pPr>
        <w:pStyle w:val="P11"/>
        <w:ind w:left="600"/>
      </w:pPr>
    </w:p>
    <w:p>
      <w:pPr>
        <w:pStyle w:val="P11"/>
        <w:ind w:left="600"/>
      </w:pPr>
    </w:p>
    <w:p>
      <w:pPr>
        <w:pStyle w:val="P11"/>
        <w:ind w:left="600"/>
      </w:pPr>
    </w:p>
    <w:p>
      <w:pPr>
        <w:pStyle w:val="P11"/>
        <w:ind w:left="600"/>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11"/>
        <w:ind w:left="600"/>
        <w:rPr>
          <w:rStyle w:val="C3"/>
        </w:rPr>
      </w:pPr>
    </w:p>
    <w:p>
      <w:pPr>
        <w:pStyle w:val="P11"/>
      </w:pPr>
      <w:r>
        <w:t>...///3.-</w:t>
      </w:r>
    </w:p>
    <w:p>
      <w:pPr>
        <w:pStyle w:val="P11"/>
      </w:pPr>
    </w:p>
    <w:p>
      <w:pPr>
        <w:pStyle w:val="P13"/>
        <w:ind w:firstLine="0" w:left="600"/>
      </w:pPr>
      <w:r>
        <w:t>Que este Honorable Concejo Deliberante considera de suma importancia mantener dentro de la estructura que se determine en el futuro para la prestación de estos servicios, a las personas que hoy se encuentran realizando dicha tarea;</w:t>
      </w:r>
    </w:p>
    <w:p>
      <w:pPr>
        <w:pStyle w:val="P13"/>
        <w:ind w:firstLine="0" w:left="600"/>
      </w:pPr>
    </w:p>
    <w:p>
      <w:pPr>
        <w:pStyle w:val="P11"/>
        <w:ind w:left="600"/>
      </w:pPr>
      <w:r>
        <w:t xml:space="preserve">Que analizado el Proyecto de Ordenanza de referencia por la totalidad de los Concejales presentes, se resuelve por Mayoría su aprobación, en Sesión Ordinaria del día 28 de Abril de 2010.- </w:t>
      </w:r>
    </w:p>
    <w:p>
      <w:pPr>
        <w:ind w:left="600"/>
        <w:jc w:val="both"/>
        <w:rPr>
          <w:rStyle w:val="C3"/>
          <w:rFonts w:ascii="Courier New" w:hAnsi="Courier New"/>
        </w:rPr>
      </w:pPr>
    </w:p>
    <w:p>
      <w:pPr>
        <w:jc w:val="center"/>
        <w:rPr>
          <w:rStyle w:val="C3"/>
          <w:rFonts w:ascii="Courier New" w:hAnsi="Courier New"/>
          <w:b w:val="1"/>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pStyle w:val="P12"/>
        <w:ind w:left="561"/>
        <w:rPr>
          <w:rStyle w:val="C3"/>
          <w:b w:val="1"/>
        </w:rPr>
      </w:pPr>
      <w:r>
        <w:rPr>
          <w:rStyle w:val="C3"/>
          <w:b w:val="1"/>
        </w:rPr>
        <w:t xml:space="preserve">    ALTA GRACIA SANCIONA CON FUERZA DE ORDENANZA</w:t>
      </w:r>
    </w:p>
    <w:p>
      <w:pPr>
        <w:pStyle w:val="P12"/>
        <w:ind w:left="561"/>
        <w:rPr>
          <w:rStyle w:val="C3"/>
          <w:b w:val="1"/>
        </w:rPr>
      </w:pPr>
    </w:p>
    <w:p>
      <w:pPr>
        <w:pStyle w:val="P12"/>
        <w:ind w:left="561"/>
        <w:rPr>
          <w:rStyle w:val="C3"/>
          <w:b w:val="1"/>
        </w:rPr>
      </w:pPr>
    </w:p>
    <w:p>
      <w:pPr>
        <w:ind w:hanging="360" w:left="360"/>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rPr>
        <w:t xml:space="preserve"> </w:t>
      </w:r>
      <w:r>
        <w:rPr>
          <w:rStyle w:val="C3"/>
          <w:rFonts w:ascii="Courier New" w:hAnsi="Courier New"/>
          <w:b w:val="1"/>
        </w:rPr>
        <w:t xml:space="preserve">AUTORÍZASE </w:t>
      </w:r>
      <w:r>
        <w:rPr>
          <w:rStyle w:val="C3"/>
          <w:rFonts w:ascii="Courier New" w:hAnsi="Courier New"/>
        </w:rPr>
        <w:t>al Departamento Ejecutivo Municipal a suscribir un acuerdo por NOVENTA (90) días improrrogables a partir del vencimiento del contrato de concesión actual con la COSAG Ltda. para la prestación de los servicios de captación, conducción, potabilización y comercialización del servicio de agua potable y recolección, tratamiento y comercialización del servicio de desagües cloacales de la Ciudad de Alta Gracia, exigiéndose a la misma la presentación de Balances, inventario faltantes y estado de situación patrimonial al vencimiento del contrato y Balance final.-</w:t>
      </w:r>
    </w:p>
    <w:p>
      <w:pPr>
        <w:ind w:hanging="360" w:left="360"/>
        <w:jc w:val="both"/>
        <w:rPr>
          <w:rStyle w:val="C3"/>
          <w:rFonts w:ascii="Courier New" w:hAnsi="Courier New"/>
        </w:rPr>
      </w:pPr>
    </w:p>
    <w:p>
      <w:pPr>
        <w:ind w:hanging="360" w:left="360"/>
        <w:jc w:val="both"/>
        <w:rPr>
          <w:rStyle w:val="C3"/>
          <w:rFonts w:ascii="Courier New" w:hAnsi="Courier New"/>
        </w:rPr>
      </w:pPr>
      <w:r>
        <w:rPr>
          <w:rStyle w:val="C3"/>
          <w:rFonts w:ascii="Courier New" w:hAnsi="Courier New"/>
          <w:b w:val="1"/>
          <w:u w:val="single"/>
        </w:rPr>
        <w:t>Art.2:</w:t>
      </w:r>
      <w:r>
        <w:rPr>
          <w:rStyle w:val="C3"/>
          <w:rFonts w:ascii="Courier New" w:hAnsi="Courier New"/>
          <w:b w:val="1"/>
        </w:rPr>
        <w:t xml:space="preserve"> </w:t>
      </w:r>
      <w:r>
        <w:rPr>
          <w:rStyle w:val="C3"/>
          <w:rFonts w:ascii="Courier New" w:hAnsi="Courier New"/>
          <w:b w:val="1"/>
        </w:rPr>
        <w:t>AUTORÍZASE</w:t>
      </w:r>
      <w:r>
        <w:rPr>
          <w:rStyle w:val="C3"/>
          <w:rFonts w:ascii="Courier New" w:hAnsi="Courier New"/>
        </w:rPr>
        <w:t xml:space="preserve">, en el caso de que la COSAG Ltda. no acepte lo establecido en el Artículo precedente,  al Departamento Ejecutivo a asumir la prestación del servicio durante CIENTO OCHENTA (180) días improrrogables a partir de la fecha del vencimiento del </w:t>
      </w:r>
    </w:p>
    <w:p>
      <w:pPr>
        <w:ind w:hanging="360" w:left="360"/>
        <w:jc w:val="right"/>
        <w:rPr>
          <w:rStyle w:val="C3"/>
          <w:rFonts w:ascii="Courier New" w:hAnsi="Courier New"/>
        </w:rPr>
      </w:pPr>
      <w:r>
        <w:rPr>
          <w:rStyle w:val="C3"/>
          <w:rFonts w:ascii="Courier New" w:hAnsi="Courier New"/>
        </w:rPr>
        <w:t>...///</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11"/>
        <w:ind w:left="600"/>
        <w:rPr>
          <w:rStyle w:val="C3"/>
        </w:rPr>
      </w:pPr>
    </w:p>
    <w:p>
      <w:pPr>
        <w:pStyle w:val="P11"/>
      </w:pPr>
      <w:r>
        <w:t>...///4.-</w:t>
      </w:r>
    </w:p>
    <w:p>
      <w:pPr>
        <w:ind w:hanging="360" w:left="360"/>
        <w:jc w:val="both"/>
        <w:rPr>
          <w:rStyle w:val="C3"/>
          <w:rFonts w:ascii="Courier New" w:hAnsi="Courier New"/>
          <w:b w:val="1"/>
          <w:u w:val="single"/>
        </w:rPr>
      </w:pPr>
    </w:p>
    <w:p>
      <w:pPr>
        <w:ind w:left="360"/>
        <w:jc w:val="both"/>
        <w:rPr>
          <w:rStyle w:val="C3"/>
          <w:rFonts w:ascii="Courier New" w:hAnsi="Courier New"/>
        </w:rPr>
      </w:pPr>
      <w:r>
        <w:rPr>
          <w:rStyle w:val="C3"/>
          <w:rFonts w:ascii="Courier New" w:hAnsi="Courier New"/>
        </w:rPr>
        <w:t>contrato actual de concesión y realizar las contrataciones necesarias y suficientes, como así también adoptar todas las medidas pertinentes a los fines de garantizar la prestación de los servicios en cuestión (presupuestarias, servicios de vigilancia, notariales, técnicos, realización de inventarios de los bienes afectados, etc.).-</w:t>
      </w:r>
    </w:p>
    <w:p>
      <w:pPr>
        <w:ind w:hanging="360" w:left="360"/>
        <w:jc w:val="both"/>
        <w:rPr>
          <w:rStyle w:val="C3"/>
          <w:rFonts w:ascii="Courier New" w:hAnsi="Courier New"/>
          <w:b w:val="1"/>
          <w:u w:val="single"/>
        </w:rPr>
      </w:pPr>
    </w:p>
    <w:p>
      <w:pPr>
        <w:ind w:hanging="360" w:left="360"/>
        <w:jc w:val="both"/>
        <w:rPr>
          <w:rStyle w:val="C3"/>
          <w:rFonts w:ascii="Courier New" w:hAnsi="Courier New"/>
        </w:rPr>
      </w:pPr>
      <w:r>
        <w:rPr>
          <w:rStyle w:val="C3"/>
          <w:rFonts w:ascii="Courier New" w:hAnsi="Courier New"/>
          <w:b w:val="1"/>
          <w:u w:val="single"/>
        </w:rPr>
        <w:t>Art.3</w:t>
      </w:r>
      <w:r>
        <w:rPr>
          <w:rStyle w:val="C3"/>
          <w:rFonts w:ascii="Courier New" w:hAnsi="Courier New"/>
          <w:b w:val="1"/>
        </w:rPr>
        <w:t>:</w:t>
      </w:r>
      <w:r>
        <w:rPr>
          <w:rStyle w:val="C3"/>
          <w:rFonts w:ascii="Courier New" w:hAnsi="Courier New"/>
          <w:b w:val="1"/>
        </w:rPr>
        <w:t xml:space="preserve"> DEBERÁ </w:t>
      </w:r>
      <w:r>
        <w:rPr>
          <w:rStyle w:val="C3"/>
          <w:rFonts w:ascii="Courier New" w:hAnsi="Courier New"/>
        </w:rPr>
        <w:t>el Departamento Ejecutivo notificar fehacientemente a la COSAG Ltda. de lo ordenado en el Art.1º de la presente y proponer a que firme el acuerdo referido en esta sede municipal hasta las ONCE HORAS (11hs.) del día 30 de Abril de 2010.-</w:t>
      </w:r>
    </w:p>
    <w:p>
      <w:pPr>
        <w:ind w:hanging="360" w:left="360"/>
        <w:jc w:val="both"/>
        <w:rPr>
          <w:rStyle w:val="C3"/>
          <w:rFonts w:ascii="Courier New" w:hAnsi="Courier New"/>
          <w:b w:val="1"/>
          <w:u w:val="single"/>
        </w:rPr>
      </w:pPr>
    </w:p>
    <w:p>
      <w:pPr>
        <w:ind w:hanging="360" w:left="360"/>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4</w:t>
      </w:r>
      <w:r>
        <w:rPr>
          <w:rStyle w:val="C3"/>
          <w:rFonts w:ascii="Courier New" w:hAnsi="Courier New"/>
          <w:b w:val="1"/>
        </w:rPr>
        <w:t>: PROTOCOLÍCESE,</w:t>
      </w:r>
      <w:r>
        <w:rPr>
          <w:rStyle w:val="C3"/>
          <w:rFonts w:ascii="Courier New" w:hAnsi="Courier New"/>
        </w:rPr>
        <w:t xml:space="preserve"> comuníquese, publíquese en el Boletín Oficial de la ciudad de Alta Gracia, incorpórese al Libro de Ordenanzas y archívese.- </w:t>
      </w:r>
    </w:p>
    <w:p>
      <w:pPr>
        <w:pStyle w:val="P20"/>
        <w:jc w:val="both"/>
        <w:rPr>
          <w:rStyle w:val="C3"/>
          <w:sz w:val="24"/>
        </w:rPr>
      </w:pPr>
    </w:p>
    <w:p>
      <w:pPr>
        <w:pStyle w:val="P17"/>
        <w:rPr>
          <w:rStyle w:val="C3"/>
        </w:rPr>
      </w:pPr>
    </w:p>
    <w:p>
      <w:pPr>
        <w:pStyle w:val="P17"/>
      </w:pPr>
      <w:r>
        <w:t xml:space="preserve">DADA EN LA SALA DE SESIONES DEL HONORABLE CONCEJO DELIBERANTE A LOS VEINTIOCHO DÍAS DEL MES DE ABRIL DEL AÑO DOS MIL DIEZ.- </w:t>
      </w:r>
    </w:p>
    <w:p>
      <w:pPr>
        <w:pStyle w:val="P17"/>
      </w:pPr>
    </w:p>
    <w:p>
      <w:pPr>
        <w:pStyle w:val="P17"/>
      </w:pPr>
    </w:p>
    <w:p>
      <w:pPr>
        <w:pStyle w:val="P17"/>
      </w:pPr>
    </w:p>
    <w:p>
      <w:pPr>
        <w:pStyle w:val="P17"/>
      </w:pPr>
    </w:p>
    <w:p>
      <w:pPr>
        <w:pStyle w:val="P17"/>
      </w:pPr>
    </w:p>
    <w:p>
      <w:pPr>
        <w:pStyle w:val="P17"/>
      </w:pPr>
    </w:p>
    <w:p>
      <w:pPr>
        <w:pStyle w:val="P17"/>
      </w:pPr>
    </w:p>
    <w:p>
      <w:pPr>
        <w:pStyle w:val="P17"/>
      </w:pP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2">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3">
    <w:nsid w:val="3481758D"/>
    <w:multiLevelType w:val="multilevel"/>
    <w:lvl w:ilvl="0">
      <w:start w:val="1"/>
      <w:numFmt w:val="lowerLetter"/>
      <w:suff w:val="tab"/>
      <w:lvlText w:val="%1)"/>
      <w:lvlJc w:val="left"/>
      <w:pPr>
        <w:ind w:hanging="555" w:left="915"/>
        <w:tabs>
          <w:tab w:val="left" w:pos="91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
    <w:nsid w:val="53ED6F8B"/>
    <w:multiLevelType w:val="multilevel"/>
    <w:lvl w:ilvl="0">
      <w:start w:val="1"/>
      <w:numFmt w:val="lowerLetter"/>
      <w:suff w:val="tab"/>
      <w:lvlText w:val="%1)"/>
      <w:lvlJc w:val="left"/>
      <w:pPr>
        <w:ind w:hanging="435" w:left="795"/>
        <w:tabs>
          <w:tab w:val="left" w:pos="795" w:leader="none"/>
        </w:tabs>
      </w:pPr>
      <w:rPr>
        <w:color w:val="000000"/>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6">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7">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7334740F"/>
    <w:multiLevelType w:val="multilevel"/>
    <w:lvl w:ilvl="0">
      <w:start w:val="1"/>
      <w:numFmt w:val="lowerLetter"/>
      <w:suff w:val="tab"/>
      <w:lvlText w:val="%1)"/>
      <w:lvlJc w:val="left"/>
      <w:pPr>
        <w:ind w:hanging="495" w:left="855"/>
        <w:tabs>
          <w:tab w:val="left" w:pos="85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num w:numId="1">
    <w:abstractNumId w:val="5"/>
  </w:num>
  <w:num w:numId="2">
    <w:abstractNumId w:val="1"/>
  </w:num>
  <w:num w:numId="3">
    <w:abstractNumId w:val="2"/>
  </w:num>
  <w:num w:numId="4">
    <w:abstractNumId w:val="6"/>
  </w:num>
  <w:num w:numId="5">
    <w:abstractNumId w:val="7"/>
  </w:num>
  <w:num w:numId="6">
    <w:abstractNumId w:val="0"/>
  </w:num>
  <w:num w:numId="7">
    <w:abstractNumId w:val="3"/>
  </w:num>
  <w:num w:numId="8">
    <w:abstractNumId w:val="4"/>
  </w:num>
  <w:num w:numId="9">
    <w:abstractNumId w:val="8"/>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5"/>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Pie de página"/>
    <w:basedOn w:val="P0"/>
    <w:next w:val="P26"/>
    <w:pPr>
      <w:tabs>
        <w:tab w:val="center" w:pos="4419" w:leader="none"/>
        <w:tab w:val="right" w:pos="8838" w:leader="none"/>
      </w:tabs>
    </w:pPr>
    <w:rPr>
      <w:rFonts w:ascii="Arial" w:hAnsi="Arial"/>
    </w:rPr>
  </w:style>
  <w:style w:type="paragraph" w:styleId="P27">
    <w:name w:val="ecxmsonormal"/>
    <w:basedOn w:val="P0"/>
    <w:next w:val="P27"/>
    <w:pPr>
      <w:spacing w:before="100" w:after="100" w:beforeAutospacing="1" w:afterAutospacing="1"/>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character" w:styleId="C5">
    <w:name w:val="Texto independiente 2 Car"/>
    <w:basedOn w:val="C3"/>
    <w:link w:val="P16"/>
    <w:rPr>
      <w:rFonts w:ascii="Arial" w:hAnsi="Arial"/>
      <w:b w:val="1"/>
      <w:sz w:val="28"/>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2010-04-29T10:33:00Z</dcterms:created>
  <cp:lastModifiedBy>Ethan Puglia</cp:lastModifiedBy>
  <cp:lastPrinted>2010-04-29T12:31:00Z</cp:lastPrinted>
  <dcterms:modified xsi:type="dcterms:W3CDTF">2019-03-28T17:34:20Z</dcterms:modified>
  <cp:revision>20</cp:revision>
  <dc:title>PROYECTO DE ORDENANZA VIOLENCIA FAMILIAR</dc:title>
</cp:coreProperties>
</file>