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9DB106A" Type="http://schemas.openxmlformats.org/officeDocument/2006/relationships/officeDocument" Target="/word/document.xml" /><Relationship Id="coreR29DB106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Nº 8631</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Ley Nacional 26061, Ley Provincial Nº 9396, los derechos de las niñas, niños y adolescentes;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
      <w:pPr>
        <w:pStyle w:val="P16"/>
        <w:spacing w:before="120" w:after="120"/>
        <w:ind w:left="567"/>
        <w:jc w:val="both"/>
        <w:rPr>
          <w:rStyle w:val="C3"/>
          <w:rFonts w:ascii="Courier New" w:hAnsi="Courier New"/>
          <w:b w:val="1"/>
          <w:sz w:val="24"/>
        </w:rPr>
      </w:pPr>
      <w:r>
        <w:rPr>
          <w:rStyle w:val="C3"/>
          <w:rFonts w:ascii="Courier New" w:hAnsi="Courier New"/>
          <w:b w:val="0"/>
          <w:sz w:val="24"/>
        </w:rPr>
        <w:t>Que en la reforma de la Constitución Nacional de 1.994 se incorporó con jerarquía constitucional la Convención</w:t>
      </w:r>
      <w:r>
        <w:rPr>
          <w:rStyle w:val="C3"/>
          <w:rFonts w:ascii="Courier New" w:hAnsi="Courier New"/>
          <w:b w:val="0"/>
          <w:sz w:val="24"/>
        </w:rPr>
        <w:t xml:space="preserve"> de los Derechos de los Niños (A</w:t>
      </w:r>
      <w:r>
        <w:rPr>
          <w:rStyle w:val="C3"/>
          <w:rFonts w:ascii="Courier New" w:hAnsi="Courier New"/>
          <w:b w:val="0"/>
          <w:sz w:val="24"/>
        </w:rPr>
        <w:t>rt.75</w:t>
      </w:r>
      <w:r>
        <w:rPr>
          <w:rStyle w:val="C3"/>
          <w:rFonts w:ascii="Courier New" w:hAnsi="Courier New"/>
          <w:b w:val="0"/>
          <w:sz w:val="24"/>
        </w:rPr>
        <w:t>º</w:t>
      </w:r>
      <w:r>
        <w:rPr>
          <w:rStyle w:val="C3"/>
          <w:rFonts w:ascii="Courier New" w:hAnsi="Courier New"/>
          <w:b w:val="0"/>
          <w:sz w:val="24"/>
        </w:rPr>
        <w:t xml:space="preserve"> inc. 22 CN). Son ejes de la misma la “Subjetividad de la Niñez” y el “Interés Superior del Niño”, que comprende el </w:t>
      </w:r>
      <w:r>
        <w:rPr>
          <w:rStyle w:val="C3"/>
          <w:rFonts w:ascii="Courier New" w:hAnsi="Courier New"/>
          <w:b w:val="0"/>
          <w:sz w:val="24"/>
        </w:rPr>
        <w:t>D</w:t>
      </w:r>
      <w:r>
        <w:rPr>
          <w:rStyle w:val="C3"/>
          <w:rFonts w:ascii="Courier New" w:hAnsi="Courier New"/>
          <w:b w:val="0"/>
          <w:sz w:val="24"/>
        </w:rPr>
        <w:t>erecho a ser escuchado y a opinar en los asuntos en que ven comprometidos sus intereses</w:t>
      </w:r>
      <w:r>
        <w:rPr>
          <w:rStyle w:val="C3"/>
          <w:rFonts w:ascii="Courier New" w:hAnsi="Courier New"/>
          <w:b w:val="0"/>
          <w:sz w:val="24"/>
        </w:rPr>
        <w:t>;</w:t>
      </w:r>
      <w:r>
        <w:rPr>
          <w:rStyle w:val="C3"/>
          <w:rFonts w:ascii="Courier New" w:hAnsi="Courier New"/>
          <w:b w:val="0"/>
          <w:sz w:val="24"/>
        </w:rPr>
        <w:t xml:space="preserve"> </w:t>
      </w:r>
    </w:p>
    <w:p>
      <w:pPr>
        <w:spacing w:before="120" w:after="120"/>
        <w:ind w:left="567"/>
        <w:jc w:val="both"/>
        <w:rPr>
          <w:rStyle w:val="C3"/>
          <w:rFonts w:ascii="Courier New" w:hAnsi="Courier New"/>
        </w:rPr>
      </w:pPr>
      <w:r>
        <w:rPr>
          <w:rStyle w:val="C3"/>
          <w:rFonts w:ascii="Courier New" w:hAnsi="Courier New"/>
        </w:rPr>
        <w:t xml:space="preserve">Que la Ley Nacional Nº 26061, sancionada en Septiembre del 2005, establece en su Art.1º como objeto la protección integral de los Derechos de las niñas, niños y adolescentes que se encuentren en el territorio de la República Argentina, para garantizar el ejercicio y disfrute pleno, efectivo y permanente de aquellos reconocidos en el ordenamiento jurídico Nacional y en los tratados Internacionales en los que la Nación sea parte; </w:t>
      </w:r>
    </w:p>
    <w:p>
      <w:pPr>
        <w:spacing w:before="120" w:after="120"/>
        <w:ind w:left="567"/>
        <w:jc w:val="both"/>
        <w:rPr>
          <w:rStyle w:val="C3"/>
          <w:rFonts w:ascii="Courier New" w:hAnsi="Courier New"/>
        </w:rPr>
      </w:pPr>
      <w:r>
        <w:rPr>
          <w:rStyle w:val="C3"/>
          <w:rFonts w:ascii="Courier New" w:hAnsi="Courier New"/>
        </w:rPr>
        <w:t xml:space="preserve">Que además de adecuar la legislación interna a las prescripciones determinadas en la Convención internacional, la Ley Nacional mencionada establece un Sistema de Protección Integral de los Derechos de las Niñas, Niños y Adolescentes, que según el Art.32º, está conformado por todos aquellos organismos, entidades y servicios que diseñan, planifican, coordinan, orientan, ejecutan  y  supervisan  las  políticas  públicas, de </w:t>
      </w:r>
    </w:p>
    <w:p>
      <w:pPr>
        <w:spacing w:before="120" w:after="120"/>
        <w:ind w:left="567"/>
        <w:jc w:val="right"/>
        <w:rPr>
          <w:rStyle w:val="C3"/>
          <w:rFonts w:ascii="Courier New" w:hAnsi="Courier New"/>
        </w:rPr>
      </w:pPr>
      <w:r>
        <w:rPr>
          <w:rStyle w:val="C3"/>
          <w:rFonts w:ascii="Courier New" w:hAnsi="Courier New"/>
        </w:rPr>
        <w:t>...///</w:t>
      </w:r>
    </w:p>
    <w:p>
      <w:pPr>
        <w:spacing w:before="120" w:after="120"/>
        <w:ind w:left="567"/>
        <w:jc w:val="both"/>
        <w:rPr>
          <w:rStyle w:val="C3"/>
          <w:rFonts w:ascii="Courier New" w:hAnsi="Courier New"/>
        </w:rPr>
      </w:pPr>
    </w:p>
    <w:p>
      <w:pPr>
        <w:spacing w:before="120" w:after="120"/>
        <w:ind w:left="567"/>
        <w:jc w:val="both"/>
        <w:rPr>
          <w:rStyle w:val="C3"/>
          <w:rFonts w:ascii="Courier New" w:hAnsi="Courier New"/>
        </w:rPr>
      </w:pPr>
    </w:p>
    <w:p>
      <w:pPr>
        <w:spacing w:before="120" w:after="120"/>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spacing w:before="120" w:after="120"/>
        <w:ind w:left="567"/>
        <w:jc w:val="both"/>
        <w:rPr>
          <w:rStyle w:val="C3"/>
          <w:rFonts w:ascii="Courier New" w:hAnsi="Courier New"/>
        </w:rPr>
      </w:pPr>
      <w:r>
        <w:rPr>
          <w:rStyle w:val="C3"/>
          <w:rFonts w:ascii="Courier New" w:hAnsi="Courier New"/>
        </w:rPr>
        <w:t xml:space="preserve">gestión estatal o privadas, en el ámbito Nacional, Provincial y Municipal, destinados a la promoción, prevención, asistencia, protección, resguardo y restablecimiento de los Derechos de las niñas, niños y adolescentes, y establece los medios a través de los cuales se asegura el efectivo goce de sus derechos y garantías reconocidos; </w:t>
      </w:r>
    </w:p>
    <w:p>
      <w:pPr>
        <w:spacing w:before="120" w:after="120"/>
        <w:ind w:left="567"/>
        <w:jc w:val="both"/>
        <w:rPr>
          <w:rStyle w:val="C3"/>
          <w:rFonts w:ascii="Courier New" w:hAnsi="Courier New"/>
        </w:rPr>
      </w:pPr>
      <w:r>
        <w:rPr>
          <w:rStyle w:val="C3"/>
          <w:rFonts w:ascii="Courier New" w:hAnsi="Courier New"/>
        </w:rPr>
        <w:t xml:space="preserve">Que, por otra parte, establece en el Art.4ª como pautas para elaborar políticas públicas de la niñez y adolescencia (...) Gestión asociada de los organismos de gobierno en sus distintos niveles en coordinación con la sociedad civil, con capacitación y fiscalización permanente; Promoción de redes intersectoriales locales; organismos para la defensa y protección de los Derechos de las niñas, niños y adolescentes; </w:t>
      </w:r>
    </w:p>
    <w:p>
      <w:pPr>
        <w:pStyle w:val="P16"/>
        <w:spacing w:before="120" w:after="120"/>
        <w:ind w:left="567"/>
        <w:jc w:val="both"/>
        <w:rPr>
          <w:rStyle w:val="C3"/>
          <w:rFonts w:ascii="Courier New" w:hAnsi="Courier New"/>
          <w:b w:val="1"/>
          <w:sz w:val="24"/>
        </w:rPr>
      </w:pPr>
      <w:r>
        <w:rPr>
          <w:rStyle w:val="C3"/>
          <w:rFonts w:ascii="Courier New" w:hAnsi="Courier New"/>
          <w:b w:val="0"/>
          <w:sz w:val="24"/>
        </w:rPr>
        <w:t xml:space="preserve">Que en 2007, </w:t>
      </w:r>
      <w:r>
        <w:rPr>
          <w:rStyle w:val="C3"/>
          <w:rFonts w:ascii="Courier New" w:hAnsi="Courier New"/>
          <w:b w:val="0"/>
          <w:sz w:val="24"/>
        </w:rPr>
        <w:t>mediante</w:t>
      </w:r>
      <w:r>
        <w:rPr>
          <w:rStyle w:val="C3"/>
          <w:rFonts w:ascii="Courier New" w:hAnsi="Courier New"/>
          <w:b w:val="0"/>
          <w:sz w:val="24"/>
        </w:rPr>
        <w:t xml:space="preserve"> ley 9.693, la </w:t>
      </w:r>
      <w:r>
        <w:rPr>
          <w:rStyle w:val="C3"/>
          <w:rFonts w:ascii="Courier New" w:hAnsi="Courier New"/>
          <w:b w:val="0"/>
          <w:sz w:val="24"/>
        </w:rPr>
        <w:t>P</w:t>
      </w:r>
      <w:r>
        <w:rPr>
          <w:rStyle w:val="C3"/>
          <w:rFonts w:ascii="Courier New" w:hAnsi="Courier New"/>
          <w:b w:val="0"/>
          <w:sz w:val="24"/>
        </w:rPr>
        <w:t xml:space="preserve">rovincia de Córdoba adhirió a la </w:t>
      </w:r>
      <w:r>
        <w:rPr>
          <w:rStyle w:val="C3"/>
          <w:rFonts w:ascii="Courier New" w:hAnsi="Courier New"/>
          <w:b w:val="0"/>
          <w:sz w:val="24"/>
        </w:rPr>
        <w:t>L</w:t>
      </w:r>
      <w:r>
        <w:rPr>
          <w:rStyle w:val="C3"/>
          <w:rFonts w:ascii="Courier New" w:hAnsi="Courier New"/>
          <w:b w:val="0"/>
          <w:sz w:val="24"/>
        </w:rPr>
        <w:t xml:space="preserve">ey </w:t>
      </w:r>
      <w:r>
        <w:rPr>
          <w:rStyle w:val="C3"/>
          <w:rFonts w:ascii="Courier New" w:hAnsi="Courier New"/>
          <w:b w:val="0"/>
          <w:sz w:val="24"/>
        </w:rPr>
        <w:t>N</w:t>
      </w:r>
      <w:r>
        <w:rPr>
          <w:rStyle w:val="C3"/>
          <w:rFonts w:ascii="Courier New" w:hAnsi="Courier New"/>
          <w:b w:val="0"/>
          <w:sz w:val="24"/>
        </w:rPr>
        <w:t>acional para la implementación del Sistema de Protección Integral, que incluye la adecuación del sistema judicial, la creación de la Defensoría de la Niñez, la promoción de espacios participativos de la niñez y adolescencia</w:t>
      </w:r>
      <w:r>
        <w:rPr>
          <w:rStyle w:val="C3"/>
          <w:rFonts w:ascii="Courier New" w:hAnsi="Courier New"/>
          <w:b w:val="0"/>
          <w:sz w:val="24"/>
        </w:rPr>
        <w:t>;</w:t>
      </w:r>
    </w:p>
    <w:p>
      <w:pPr>
        <w:pStyle w:val="P16"/>
        <w:spacing w:before="120" w:after="120"/>
        <w:ind w:left="567"/>
        <w:jc w:val="both"/>
        <w:rPr>
          <w:rStyle w:val="C3"/>
          <w:rFonts w:ascii="Courier New" w:hAnsi="Courier New"/>
          <w:b w:val="1"/>
          <w:sz w:val="24"/>
        </w:rPr>
      </w:pPr>
      <w:r>
        <w:rPr>
          <w:rStyle w:val="C3"/>
          <w:rFonts w:ascii="Courier New" w:hAnsi="Courier New"/>
          <w:b w:val="0"/>
          <w:sz w:val="24"/>
        </w:rPr>
        <w:t xml:space="preserve">Que el </w:t>
      </w:r>
      <w:r>
        <w:rPr>
          <w:rStyle w:val="C3"/>
          <w:rFonts w:ascii="Courier New" w:hAnsi="Courier New"/>
          <w:b w:val="0"/>
          <w:sz w:val="24"/>
        </w:rPr>
        <w:t>G</w:t>
      </w:r>
      <w:r>
        <w:rPr>
          <w:rStyle w:val="C3"/>
          <w:rFonts w:ascii="Courier New" w:hAnsi="Courier New"/>
          <w:b w:val="0"/>
          <w:sz w:val="24"/>
        </w:rPr>
        <w:t xml:space="preserve">obierno de la </w:t>
      </w:r>
      <w:r>
        <w:rPr>
          <w:rStyle w:val="C3"/>
          <w:rFonts w:ascii="Courier New" w:hAnsi="Courier New"/>
          <w:b w:val="0"/>
          <w:sz w:val="24"/>
        </w:rPr>
        <w:t>P</w:t>
      </w:r>
      <w:r>
        <w:rPr>
          <w:rStyle w:val="C3"/>
          <w:rFonts w:ascii="Courier New" w:hAnsi="Courier New"/>
          <w:b w:val="0"/>
          <w:sz w:val="24"/>
        </w:rPr>
        <w:t xml:space="preserve">rovincia ha constituido la Secretaría de la Mujer, Niñez, Adolescencia y Familia (MUNAF), siendo la Subsecretaría de Protección Integral de la Niñez y Adolescencia, la encargada de promover los Programas de “Consejo Local de Niñez y Adolescencia” y  “Foros de Niñez y Adolescencia”</w:t>
      </w:r>
      <w:r>
        <w:rPr>
          <w:rStyle w:val="C3"/>
          <w:rFonts w:ascii="Courier New" w:hAnsi="Courier New"/>
          <w:b w:val="0"/>
          <w:sz w:val="24"/>
        </w:rPr>
        <w:t>;</w:t>
      </w:r>
    </w:p>
    <w:p>
      <w:pPr>
        <w:pStyle w:val="P16"/>
        <w:spacing w:before="120" w:after="120"/>
        <w:ind w:left="567"/>
        <w:jc w:val="both"/>
        <w:rPr>
          <w:rStyle w:val="C3"/>
          <w:rFonts w:ascii="Courier New" w:hAnsi="Courier New"/>
          <w:b w:val="1"/>
          <w:sz w:val="24"/>
        </w:rPr>
      </w:pPr>
      <w:r>
        <w:rPr>
          <w:rStyle w:val="C3"/>
          <w:rFonts w:ascii="Courier New" w:hAnsi="Courier New"/>
          <w:b w:val="0"/>
          <w:sz w:val="24"/>
        </w:rPr>
        <w:t>Que los Consejos Locales de Niñez y Adolescencia son espacios de cooperación y construcción institucional, que representan una serie de articulaciones y redes entre actores e instituciones locales existentes</w:t>
      </w:r>
      <w:r>
        <w:rPr>
          <w:rStyle w:val="C3"/>
          <w:rFonts w:ascii="Courier New" w:hAnsi="Courier New"/>
          <w:b w:val="0"/>
          <w:sz w:val="24"/>
        </w:rPr>
        <w:t>;</w:t>
      </w:r>
    </w:p>
    <w:p>
      <w:pPr>
        <w:pStyle w:val="P16"/>
        <w:spacing w:before="120" w:after="120"/>
        <w:ind w:left="567"/>
        <w:jc w:val="right"/>
        <w:rPr>
          <w:rStyle w:val="C3"/>
          <w:rFonts w:ascii="Courier New" w:hAnsi="Courier New"/>
          <w:b w:val="1"/>
          <w:sz w:val="24"/>
        </w:rPr>
      </w:pPr>
      <w:r>
        <w:rPr>
          <w:rStyle w:val="C3"/>
          <w:rFonts w:ascii="Courier New" w:hAnsi="Courier New"/>
          <w:b w:val="0"/>
          <w:sz w:val="24"/>
        </w:rPr>
        <w:t>...///</w:t>
      </w:r>
    </w:p>
    <w:p>
      <w:pPr>
        <w:pStyle w:val="P16"/>
        <w:spacing w:before="120" w:after="120"/>
        <w:ind w:left="567"/>
        <w:jc w:val="both"/>
        <w:rPr>
          <w:rStyle w:val="C3"/>
          <w:rFonts w:ascii="Courier New" w:hAnsi="Courier New"/>
          <w:b w:val="1"/>
          <w:sz w:val="24"/>
        </w:rPr>
      </w:pPr>
    </w:p>
    <w:p>
      <w:pPr>
        <w:pStyle w:val="P16"/>
        <w:spacing w:before="120" w:after="120"/>
        <w:ind w:left="567"/>
        <w:jc w:val="both"/>
        <w:rPr>
          <w:rStyle w:val="C3"/>
          <w:rFonts w:ascii="Courier New" w:hAnsi="Courier New"/>
          <w:b w:val="1"/>
          <w:sz w:val="24"/>
        </w:rPr>
      </w:pPr>
    </w:p>
    <w:p>
      <w:pPr>
        <w:pStyle w:val="P16"/>
        <w:spacing w:before="120" w:after="120"/>
        <w:ind w:left="567"/>
        <w:jc w:val="both"/>
        <w:rPr>
          <w:rStyle w:val="C3"/>
          <w:rFonts w:ascii="Courier New" w:hAnsi="Courier New"/>
          <w:b w:val="1"/>
          <w:sz w:val="24"/>
        </w:rPr>
      </w:pPr>
    </w:p>
    <w:p>
      <w:pPr>
        <w:pStyle w:val="P16"/>
        <w:spacing w:before="120" w:after="120"/>
        <w:ind w:left="567"/>
        <w:jc w:val="both"/>
        <w:rPr>
          <w:rStyle w:val="C3"/>
          <w:rFonts w:ascii="Courier New" w:hAnsi="Courier New"/>
          <w:b w:val="1"/>
          <w:sz w:val="24"/>
        </w:rPr>
      </w:pPr>
    </w:p>
    <w:p>
      <w:pPr>
        <w:pStyle w:val="P16"/>
        <w:spacing w:before="120" w:after="120"/>
        <w:ind w:left="567"/>
        <w:jc w:val="both"/>
        <w:rPr>
          <w:rStyle w:val="C3"/>
          <w:rFonts w:ascii="Courier New" w:hAnsi="Courier New"/>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...///3.-</w:t>
      </w:r>
    </w:p>
    <w:p>
      <w:pPr>
        <w:pStyle w:val="P16"/>
        <w:spacing w:before="120" w:after="120"/>
        <w:ind w:left="567"/>
        <w:jc w:val="both"/>
        <w:rPr>
          <w:rStyle w:val="C3"/>
          <w:rFonts w:ascii="Courier New" w:hAnsi="Courier New"/>
          <w:b w:val="1"/>
          <w:sz w:val="24"/>
        </w:rPr>
      </w:pPr>
      <w:r>
        <w:rPr>
          <w:rStyle w:val="C3"/>
          <w:rFonts w:ascii="Courier New" w:hAnsi="Courier New"/>
          <w:b w:val="0"/>
          <w:sz w:val="24"/>
        </w:rPr>
        <w:t xml:space="preserve">Que en el mes de diciembre se firmó un convenio marco entre la </w:t>
      </w:r>
      <w:r>
        <w:rPr>
          <w:rStyle w:val="C3"/>
          <w:rFonts w:ascii="Courier New" w:hAnsi="Courier New"/>
          <w:b w:val="0"/>
          <w:sz w:val="24"/>
        </w:rPr>
        <w:t>MUNAF</w:t>
      </w:r>
      <w:r>
        <w:rPr>
          <w:rStyle w:val="C3"/>
          <w:rFonts w:ascii="Courier New" w:hAnsi="Courier New"/>
          <w:b w:val="0"/>
          <w:sz w:val="24"/>
        </w:rPr>
        <w:t xml:space="preserve"> y la Municipalidad para la implementación en la ciudad de programas provinciales, entre ellos el Consejo Local y Foro de la Niñez</w:t>
      </w:r>
      <w:r>
        <w:rPr>
          <w:rStyle w:val="C3"/>
          <w:rFonts w:ascii="Courier New" w:hAnsi="Courier New"/>
          <w:b w:val="0"/>
          <w:sz w:val="24"/>
        </w:rPr>
        <w:t>;</w:t>
      </w:r>
    </w:p>
    <w:p>
      <w:pPr>
        <w:pStyle w:val="P16"/>
        <w:spacing w:before="120" w:after="120"/>
        <w:ind w:left="567"/>
        <w:jc w:val="both"/>
        <w:rPr>
          <w:rStyle w:val="C3"/>
          <w:rFonts w:ascii="Courier New" w:hAnsi="Courier New"/>
          <w:b w:val="1"/>
          <w:sz w:val="24"/>
        </w:rPr>
      </w:pPr>
      <w:r>
        <w:rPr>
          <w:rStyle w:val="C3"/>
          <w:rFonts w:ascii="Courier New" w:hAnsi="Courier New"/>
          <w:b w:val="0"/>
          <w:sz w:val="24"/>
        </w:rPr>
        <w:t xml:space="preserve">Que desde </w:t>
      </w:r>
      <w:r>
        <w:rPr>
          <w:rStyle w:val="C3"/>
          <w:rFonts w:ascii="Courier New" w:hAnsi="Courier New"/>
          <w:b w:val="0"/>
          <w:sz w:val="24"/>
        </w:rPr>
        <w:t>F</w:t>
      </w:r>
      <w:r>
        <w:rPr>
          <w:rStyle w:val="C3"/>
          <w:rFonts w:ascii="Courier New" w:hAnsi="Courier New"/>
          <w:b w:val="0"/>
          <w:sz w:val="24"/>
        </w:rPr>
        <w:t xml:space="preserve">ebrero de este año, la Delegación de la </w:t>
      </w:r>
      <w:r>
        <w:rPr>
          <w:rStyle w:val="C3"/>
          <w:rFonts w:ascii="Courier New" w:hAnsi="Courier New"/>
          <w:b w:val="0"/>
          <w:sz w:val="24"/>
        </w:rPr>
        <w:t xml:space="preserve">MUNAF </w:t>
      </w:r>
      <w:r>
        <w:rPr>
          <w:rStyle w:val="C3"/>
          <w:rFonts w:ascii="Courier New" w:hAnsi="Courier New"/>
          <w:b w:val="0"/>
          <w:sz w:val="24"/>
        </w:rPr>
        <w:t xml:space="preserve">y la Dirección de Desarrollo Humano han realizado capacitaciones con el objeto de constituir el Consejo Local de la Niñez y Adolescencia. El mismo quedó conformado en el pasado mes de </w:t>
      </w:r>
      <w:r>
        <w:rPr>
          <w:rStyle w:val="C3"/>
          <w:rFonts w:ascii="Courier New" w:hAnsi="Courier New"/>
          <w:b w:val="0"/>
          <w:sz w:val="24"/>
        </w:rPr>
        <w:t>M</w:t>
      </w:r>
      <w:r>
        <w:rPr>
          <w:rStyle w:val="C3"/>
          <w:rFonts w:ascii="Courier New" w:hAnsi="Courier New"/>
          <w:b w:val="0"/>
          <w:sz w:val="24"/>
        </w:rPr>
        <w:t>ayo</w:t>
      </w:r>
      <w:r>
        <w:rPr>
          <w:rStyle w:val="C3"/>
          <w:rFonts w:ascii="Courier New" w:hAnsi="Courier New"/>
          <w:b w:val="0"/>
          <w:sz w:val="24"/>
        </w:rPr>
        <w:t>;</w:t>
      </w:r>
      <w:r>
        <w:rPr>
          <w:rStyle w:val="C3"/>
          <w:rFonts w:ascii="Courier New" w:hAnsi="Courier New"/>
          <w:b w:val="0"/>
          <w:sz w:val="24"/>
        </w:rPr>
        <w:t xml:space="preserve"> </w:t>
      </w:r>
    </w:p>
    <w:p>
      <w:pPr>
        <w:pStyle w:val="P26"/>
        <w:spacing w:before="120" w:after="120"/>
        <w:ind w:left="567"/>
        <w:jc w:val="both"/>
        <w:rPr>
          <w:rStyle w:val="C3"/>
          <w:rFonts w:ascii="Courier New" w:hAnsi="Courier New"/>
          <w:b w:val="1"/>
          <w:sz w:val="24"/>
        </w:rPr>
      </w:pPr>
      <w:r>
        <w:rPr>
          <w:rStyle w:val="C3"/>
          <w:rFonts w:ascii="Courier New" w:hAnsi="Courier New"/>
          <w:b w:val="0"/>
          <w:sz w:val="24"/>
        </w:rPr>
        <w:t xml:space="preserve">Que el </w:t>
      </w:r>
      <w:r>
        <w:rPr>
          <w:rStyle w:val="C3"/>
          <w:rFonts w:ascii="Courier New" w:hAnsi="Courier New"/>
          <w:b w:val="0"/>
          <w:sz w:val="24"/>
        </w:rPr>
        <w:t>0</w:t>
      </w:r>
      <w:r>
        <w:rPr>
          <w:rStyle w:val="C3"/>
          <w:rFonts w:ascii="Courier New" w:hAnsi="Courier New"/>
          <w:b w:val="0"/>
          <w:sz w:val="24"/>
        </w:rPr>
        <w:t xml:space="preserve">4 de </w:t>
      </w:r>
      <w:r>
        <w:rPr>
          <w:rStyle w:val="C3"/>
          <w:rFonts w:ascii="Courier New" w:hAnsi="Courier New"/>
          <w:b w:val="0"/>
          <w:sz w:val="24"/>
        </w:rPr>
        <w:t>S</w:t>
      </w:r>
      <w:r>
        <w:rPr>
          <w:rStyle w:val="C3"/>
          <w:rFonts w:ascii="Courier New" w:hAnsi="Courier New"/>
          <w:b w:val="0"/>
          <w:sz w:val="24"/>
        </w:rPr>
        <w:t>eptiembre se realizó satisfactoriamente el primer Foro de la Niñez de la ciudad, con la participación de 150 niños y niñas de las escuelas primarias donde debatieron sobre sus derechos. También participaron en la organización del Foro jóvenes de sexto año de la Escuela Nacional Superior de Alta Gracia</w:t>
      </w:r>
      <w:r>
        <w:rPr>
          <w:rStyle w:val="C3"/>
          <w:rFonts w:ascii="Courier New" w:hAnsi="Courier New"/>
          <w:b w:val="0"/>
          <w:sz w:val="24"/>
        </w:rPr>
        <w:t xml:space="preserve">. Además se organizó un Segundo Foro de la Niñez el 20 de Noviembre, Día de los Derechos de los Niños, por la Sanción de su Convención Internacional; </w:t>
      </w:r>
    </w:p>
    <w:p>
      <w:pPr>
        <w:pStyle w:val="P16"/>
        <w:spacing w:before="120" w:after="120"/>
        <w:ind w:left="567"/>
        <w:jc w:val="both"/>
        <w:rPr>
          <w:rStyle w:val="C3"/>
          <w:rFonts w:ascii="Courier New" w:hAnsi="Courier New"/>
          <w:b w:val="1"/>
          <w:sz w:val="24"/>
        </w:rPr>
      </w:pPr>
      <w:r>
        <w:rPr>
          <w:rStyle w:val="C3"/>
          <w:rFonts w:ascii="Courier New" w:hAnsi="Courier New"/>
          <w:b w:val="0"/>
          <w:sz w:val="24"/>
        </w:rPr>
        <w:t>Que es primordial brindar al Consejo Local del marco legal adecuada y de institucionalidad, que exprese su realidad y las oportunidades de desarrollo de este órgano de participación ciudadana, que pretende ser una nueva herramienta para pensar políticas públicas para la niñez y adolescencia e impulsor de acciones a fin de promover el cumplimiento de los derechos del niño y del adolescente</w:t>
      </w:r>
      <w:r>
        <w:rPr>
          <w:rStyle w:val="C3"/>
          <w:rFonts w:ascii="Courier New" w:hAnsi="Courier New"/>
          <w:b w:val="0"/>
          <w:sz w:val="24"/>
        </w:rPr>
        <w:t>;</w:t>
      </w:r>
    </w:p>
    <w:p>
      <w:pPr>
        <w:ind w:left="600"/>
        <w:jc w:val="both"/>
        <w:rPr>
          <w:rStyle w:val="C3"/>
          <w:rFonts w:ascii="Courier New" w:hAnsi="Courier New"/>
        </w:rPr>
      </w:pPr>
      <w:r>
        <w:rPr>
          <w:rStyle w:val="C3"/>
          <w:rFonts w:ascii="Courier New" w:hAnsi="Courier New"/>
        </w:rPr>
        <w:t>Que analizado el Proyecto de Ordenanza de referencia por el Concejo en Comisión, el mismo emite despacho favorable, aprobado por unanimidad en Sesión Ordinaria del día 05 de Mayo de 2010.-</w:t>
      </w:r>
    </w:p>
    <w:p>
      <w:pPr>
        <w:pStyle w:val="P11"/>
        <w:ind w:left="567"/>
        <w:rPr>
          <w:rStyle w:val="C3"/>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ind w:hanging="142" w:left="709"/>
        <w:jc w:val="right"/>
        <w:rPr>
          <w:rStyle w:val="C3"/>
        </w:rPr>
      </w:pPr>
    </w:p>
    <w:p>
      <w:pPr>
        <w:pStyle w:val="P11"/>
        <w:ind w:hanging="142" w:left="709"/>
        <w:jc w:val="right"/>
      </w:pPr>
      <w:r>
        <w:t>...///</w:t>
      </w:r>
    </w:p>
    <w:p>
      <w:pPr>
        <w:pStyle w:val="P11"/>
        <w:ind w:left="567"/>
      </w:pPr>
    </w:p>
    <w:p>
      <w:pPr>
        <w:pStyle w:val="P11"/>
        <w:ind w:left="567"/>
      </w:pPr>
    </w:p>
    <w:p>
      <w:pPr>
        <w:pStyle w:val="P11"/>
        <w:ind w:left="567"/>
      </w:pPr>
    </w:p>
    <w:p>
      <w:pPr>
        <w:pStyle w:val="P11"/>
        <w:ind w:left="567"/>
      </w:pPr>
    </w:p>
    <w:p>
      <w:pPr>
        <w:pStyle w:val="P11"/>
        <w:ind w:left="567"/>
      </w:pPr>
    </w:p>
    <w:p>
      <w:pPr>
        <w:pStyle w:val="P11"/>
        <w:ind w:left="567"/>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...///4.-</w:t>
      </w:r>
    </w:p>
    <w:p>
      <w:pPr>
        <w:pStyle w:val="P20"/>
        <w:ind w:hanging="426" w:left="426"/>
        <w:jc w:val="both"/>
        <w:rPr>
          <w:rStyle w:val="C3"/>
          <w:b w:val="1"/>
          <w:sz w:val="24"/>
          <w:u w:val="single"/>
        </w:rPr>
      </w:pPr>
    </w:p>
    <w:p>
      <w:pPr>
        <w:pStyle w:val="P20"/>
        <w:ind w:hanging="426" w:left="426"/>
        <w:jc w:val="both"/>
        <w:rPr>
          <w:rStyle w:val="C3"/>
          <w:sz w:val="24"/>
        </w:rPr>
      </w:pPr>
      <w:r>
        <w:rPr>
          <w:rStyle w:val="C3"/>
          <w:b w:val="1"/>
          <w:sz w:val="24"/>
          <w:u w:val="single"/>
        </w:rPr>
        <w:t>Art.1</w:t>
      </w:r>
      <w:r>
        <w:rPr>
          <w:rStyle w:val="C3"/>
          <w:sz w:val="24"/>
        </w:rPr>
        <w:t xml:space="preserve">: </w:t>
      </w:r>
      <w:r>
        <w:rPr>
          <w:rStyle w:val="C3"/>
          <w:b w:val="1"/>
          <w:sz w:val="24"/>
        </w:rPr>
        <w:t>CRÉASE</w:t>
      </w:r>
      <w:r>
        <w:rPr>
          <w:rStyle w:val="C3"/>
          <w:sz w:val="24"/>
        </w:rPr>
        <w:t xml:space="preserve"> el Consejo Municipal de la Niñez y la Adolescencia como espacio donde distintos actores institucionales y comunitarios se vinculan y colaboran para realizar acciones públicas, con el fin de garantizar la protección integral de los derechos de las niñas, niños y adolescentes, concediendo a las familias un rol protagónico.-</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Consejo es un órgano consultivo, asesor y de planificación, integrado con la participación de los diversos sectores de la comunidad y del Estado, interesado en la infancia, la adolescencia y la familia.-</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EL</w:t>
      </w:r>
      <w:r>
        <w:rPr>
          <w:rStyle w:val="C3"/>
          <w:rFonts w:ascii="Courier New" w:hAnsi="Courier New"/>
        </w:rPr>
        <w:t xml:space="preserve"> Consejo tiene como misión la construcción del Sistema de Protección Integral, garantizar los derechos de la infancia, y objetivarlos en protección social real. Esto se logra a través del trabajo conjunto entre los tres niveles de gobierno: nacional, provincial, municipal, las empresas privadas y las organizaciones de la sociedad civil.-</w:t>
      </w:r>
    </w:p>
    <w:p>
      <w:pPr>
        <w:spacing w:before="120" w:after="12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Consejo tiene los siguientes objetivos:</w:t>
      </w:r>
    </w:p>
    <w:p>
      <w:pPr>
        <w:spacing w:before="120" w:after="120"/>
        <w:ind w:left="426"/>
        <w:jc w:val="both"/>
        <w:rPr>
          <w:rStyle w:val="C3"/>
          <w:rFonts w:ascii="Courier New" w:hAnsi="Courier New"/>
        </w:rPr>
      </w:pPr>
      <w:r>
        <w:rPr>
          <w:rStyle w:val="C3"/>
          <w:rFonts w:ascii="Courier New" w:hAnsi="Courier New"/>
        </w:rPr>
        <w:t>a) Promover el desarrollo personal y social de los Niños y Adolescentes.</w:t>
      </w:r>
    </w:p>
    <w:p>
      <w:pPr>
        <w:spacing w:before="120" w:after="120"/>
        <w:ind w:left="426"/>
        <w:jc w:val="both"/>
        <w:rPr>
          <w:rStyle w:val="C3"/>
          <w:rFonts w:ascii="Courier New" w:hAnsi="Courier New"/>
        </w:rPr>
      </w:pPr>
      <w:r>
        <w:rPr>
          <w:rStyle w:val="C3"/>
          <w:rFonts w:ascii="Courier New" w:hAnsi="Courier New"/>
        </w:rPr>
        <w:t>b) Elaborar y proponer al Estado Municipal las políticas públicas en materia de Niñez y Adolescencia, haciendo el correspondiente seguimiento.</w:t>
      </w:r>
    </w:p>
    <w:p>
      <w:pPr>
        <w:spacing w:before="120" w:after="120"/>
        <w:ind w:left="426"/>
        <w:jc w:val="both"/>
        <w:rPr>
          <w:rStyle w:val="C3"/>
          <w:rFonts w:ascii="Courier New" w:hAnsi="Courier New"/>
        </w:rPr>
      </w:pPr>
      <w:r>
        <w:rPr>
          <w:rStyle w:val="C3"/>
          <w:rFonts w:ascii="Courier New" w:hAnsi="Courier New"/>
        </w:rPr>
        <w:t>c) Institucionalizar la participación de la comunidad con relación a la niñez y adolescencia.</w:t>
      </w:r>
    </w:p>
    <w:p>
      <w:pPr>
        <w:pStyle w:val="P12"/>
        <w:spacing w:before="120" w:after="120"/>
        <w:ind w:left="426"/>
      </w:pPr>
      <w:r>
        <w:t>d) Promover la realización de eventos tendientes a desarrollar una conciencia social abordando las temáticas de la Niñez y Adolescencia como una tarea que atañe a la comunidad en su conjunto.</w:t>
      </w:r>
    </w:p>
    <w:p>
      <w:pPr>
        <w:pStyle w:val="P12"/>
        <w:spacing w:before="120" w:after="120"/>
        <w:ind w:left="426"/>
        <w:jc w:val="right"/>
      </w:pPr>
      <w:r>
        <w:t>...///</w:t>
      </w:r>
    </w:p>
    <w:p>
      <w:pPr>
        <w:pStyle w:val="P12"/>
        <w:spacing w:before="120" w:after="120"/>
        <w:ind w:left="426"/>
      </w:pPr>
    </w:p>
    <w:p>
      <w:pPr>
        <w:pStyle w:val="P12"/>
        <w:spacing w:before="120" w:after="120"/>
        <w:ind w:left="426"/>
      </w:pPr>
    </w:p>
    <w:p>
      <w:pPr>
        <w:pStyle w:val="P12"/>
        <w:spacing w:before="120" w:after="120"/>
        <w:ind w:left="426"/>
      </w:pPr>
    </w:p>
    <w:p>
      <w:pPr>
        <w:pStyle w:val="P11"/>
        <w:ind w:left="567"/>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...///5.-</w:t>
      </w:r>
    </w:p>
    <w:p>
      <w:pPr>
        <w:pStyle w:val="P12"/>
        <w:spacing w:before="120" w:after="120"/>
        <w:ind w:left="426"/>
      </w:pPr>
      <w:r>
        <w:t>e) Fomentar el desarrollo de los Foros de Niños y Foros de Jóvenes, como espacios participativos.-</w:t>
      </w:r>
    </w:p>
    <w:p>
      <w:pPr>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Consejo tiene las siguientes funciones:</w:t>
      </w:r>
    </w:p>
    <w:p>
      <w:pPr>
        <w:pStyle w:val="P12"/>
        <w:numPr>
          <w:ilvl w:val="0"/>
          <w:numId w:val="8"/>
        </w:numPr>
        <w:tabs>
          <w:tab w:val="left" w:pos="851" w:leader="none"/>
          <w:tab w:val="clear" w:pos="1494" w:leader="none"/>
        </w:tabs>
        <w:ind w:hanging="425" w:left="851"/>
      </w:pPr>
      <w:r>
        <w:t>Colaborar en la articulación de los esfuerzos de la comunidad y del Estado para atender integralmente a los niños y adolescentes de la Ciudad con acciones de promoción, prevención, asistencia y protección;</w:t>
      </w:r>
    </w:p>
    <w:p>
      <w:pPr>
        <w:numPr>
          <w:ilvl w:val="0"/>
          <w:numId w:val="8"/>
        </w:numPr>
        <w:tabs>
          <w:tab w:val="left" w:pos="851" w:leader="none"/>
          <w:tab w:val="clear" w:pos="1494" w:leader="none"/>
        </w:tabs>
        <w:ind w:hanging="425" w:left="851"/>
        <w:jc w:val="both"/>
        <w:rPr>
          <w:rStyle w:val="C3"/>
          <w:rFonts w:ascii="Courier New" w:hAnsi="Courier New"/>
        </w:rPr>
      </w:pPr>
      <w:r>
        <w:rPr>
          <w:rStyle w:val="C3"/>
          <w:rFonts w:ascii="Courier New" w:hAnsi="Courier New"/>
        </w:rPr>
        <w:t>Generar e integrar redes con distintas entidades a nivel Local, Provincial y Nacional;</w:t>
      </w:r>
    </w:p>
    <w:p>
      <w:pPr>
        <w:numPr>
          <w:ilvl w:val="0"/>
          <w:numId w:val="8"/>
        </w:numPr>
        <w:tabs>
          <w:tab w:val="left" w:pos="851" w:leader="none"/>
          <w:tab w:val="clear" w:pos="1494" w:leader="none"/>
        </w:tabs>
        <w:ind w:hanging="425" w:left="851"/>
        <w:jc w:val="both"/>
        <w:rPr>
          <w:rStyle w:val="C3"/>
          <w:rFonts w:ascii="Courier New" w:hAnsi="Courier New"/>
        </w:rPr>
      </w:pPr>
      <w:r>
        <w:rPr>
          <w:rStyle w:val="C3"/>
          <w:rFonts w:ascii="Courier New" w:hAnsi="Courier New"/>
        </w:rPr>
        <w:t xml:space="preserve">Difundir la Convención Internacional de los Derechos del Niño y la </w:t>
      </w:r>
      <w:r>
        <w:rPr>
          <w:rStyle w:val="C3"/>
          <w:rFonts w:ascii="Courier New" w:hAnsi="Courier New"/>
        </w:rPr>
        <w:fldChar w:fldCharType="begin"/>
      </w:r>
      <w:r>
        <w:rPr>
          <w:rStyle w:val="C3"/>
          <w:rFonts w:ascii="Courier New" w:hAnsi="Courier New"/>
        </w:rPr>
        <w:instrText>HYPERLINK "../LPR/LPR-4347.htm"</w:instrText>
      </w:r>
      <w:r>
        <w:rPr>
          <w:rStyle w:val="C3"/>
          <w:rFonts w:ascii="Courier New" w:hAnsi="Courier New"/>
        </w:rPr>
        <w:fldChar w:fldCharType="separate"/>
      </w:r>
      <w:r>
        <w:rPr>
          <w:rStyle w:val="C6"/>
          <w:rFonts w:ascii="Courier New" w:hAnsi="Courier New"/>
          <w:color w:val="auto"/>
          <w:u w:val="none"/>
        </w:rPr>
        <w:t>Ley Nacional Nº 26061</w:t>
      </w:r>
      <w:r>
        <w:rPr>
          <w:rStyle w:val="C6"/>
          <w:rFonts w:ascii="Courier New" w:hAnsi="Courier New"/>
          <w:color w:val="auto"/>
          <w:u w:val="none"/>
        </w:rPr>
        <w:fldChar w:fldCharType="end"/>
      </w:r>
      <w:r>
        <w:rPr>
          <w:rStyle w:val="C3"/>
          <w:rFonts w:ascii="Courier New" w:hAnsi="Courier New"/>
        </w:rPr>
        <w:t xml:space="preserve">; </w:t>
      </w:r>
    </w:p>
    <w:p>
      <w:pPr>
        <w:numPr>
          <w:ilvl w:val="0"/>
          <w:numId w:val="8"/>
        </w:numPr>
        <w:tabs>
          <w:tab w:val="left" w:pos="851" w:leader="none"/>
          <w:tab w:val="clear" w:pos="1494" w:leader="none"/>
        </w:tabs>
        <w:ind w:hanging="425" w:left="851"/>
        <w:jc w:val="both"/>
        <w:rPr>
          <w:rStyle w:val="C3"/>
          <w:rFonts w:ascii="Courier New" w:hAnsi="Courier New"/>
        </w:rPr>
      </w:pPr>
      <w:r>
        <w:rPr>
          <w:rStyle w:val="C3"/>
          <w:rFonts w:ascii="Courier New" w:hAnsi="Courier New"/>
        </w:rPr>
        <w:t>Sensibilizar y concientizar a la población</w:t>
      </w:r>
    </w:p>
    <w:p>
      <w:pPr>
        <w:numPr>
          <w:ilvl w:val="0"/>
          <w:numId w:val="8"/>
        </w:numPr>
        <w:tabs>
          <w:tab w:val="left" w:pos="851" w:leader="none"/>
          <w:tab w:val="clear" w:pos="1494" w:leader="none"/>
        </w:tabs>
        <w:ind w:hanging="425" w:left="851"/>
        <w:jc w:val="both"/>
        <w:rPr>
          <w:rStyle w:val="C3"/>
          <w:rFonts w:ascii="Courier New" w:hAnsi="Courier New"/>
        </w:rPr>
      </w:pPr>
      <w:r>
        <w:rPr>
          <w:rStyle w:val="C3"/>
          <w:rFonts w:ascii="Courier New" w:hAnsi="Courier New"/>
        </w:rPr>
        <w:t>Recabar, recibir y vehiculizar las inquietudes de los Niños y de los Adolescentes;</w:t>
      </w:r>
    </w:p>
    <w:p>
      <w:pPr>
        <w:numPr>
          <w:ilvl w:val="0"/>
          <w:numId w:val="8"/>
        </w:numPr>
        <w:tabs>
          <w:tab w:val="left" w:pos="851" w:leader="none"/>
          <w:tab w:val="clear" w:pos="1494" w:leader="none"/>
        </w:tabs>
        <w:ind w:hanging="425" w:left="851"/>
        <w:jc w:val="both"/>
        <w:rPr>
          <w:rStyle w:val="C3"/>
          <w:rFonts w:ascii="Courier New" w:hAnsi="Courier New"/>
        </w:rPr>
      </w:pPr>
      <w:r>
        <w:rPr>
          <w:rStyle w:val="C3"/>
          <w:rFonts w:ascii="Courier New" w:hAnsi="Courier New"/>
        </w:rPr>
        <w:t xml:space="preserve">Incidir en el diseño, pertinencia y puesta en práctica de políticas públicas locales </w:t>
      </w:r>
    </w:p>
    <w:p>
      <w:pPr>
        <w:numPr>
          <w:ilvl w:val="0"/>
          <w:numId w:val="8"/>
        </w:numPr>
        <w:tabs>
          <w:tab w:val="left" w:pos="851" w:leader="none"/>
          <w:tab w:val="clear" w:pos="1494" w:leader="none"/>
        </w:tabs>
        <w:ind w:hanging="425" w:left="851"/>
        <w:jc w:val="both"/>
        <w:rPr>
          <w:rStyle w:val="C3"/>
          <w:rFonts w:ascii="Courier New" w:hAnsi="Courier New"/>
        </w:rPr>
      </w:pPr>
      <w:r>
        <w:rPr>
          <w:rStyle w:val="C3"/>
          <w:rFonts w:ascii="Courier New" w:hAnsi="Courier New"/>
        </w:rPr>
        <w:t xml:space="preserve">Sugerir adaptaciones en los servicios del municipio a las necesidades de las niñas, niños y adolescentes. </w:t>
      </w:r>
    </w:p>
    <w:p>
      <w:pPr>
        <w:numPr>
          <w:ilvl w:val="0"/>
          <w:numId w:val="8"/>
        </w:numPr>
        <w:tabs>
          <w:tab w:val="left" w:pos="851" w:leader="none"/>
          <w:tab w:val="clear" w:pos="1494" w:leader="none"/>
        </w:tabs>
        <w:ind w:hanging="425" w:left="851"/>
        <w:jc w:val="both"/>
        <w:rPr>
          <w:rStyle w:val="C3"/>
          <w:rFonts w:ascii="Courier New" w:hAnsi="Courier New"/>
        </w:rPr>
      </w:pPr>
      <w:r>
        <w:rPr>
          <w:rStyle w:val="C3"/>
          <w:rFonts w:ascii="Courier New" w:hAnsi="Courier New"/>
        </w:rPr>
        <w:t>Incorporar los temas de la infancia en la agenda política local.-</w:t>
      </w:r>
    </w:p>
    <w:p>
      <w:pPr>
        <w:spacing w:before="120" w:after="120"/>
        <w:ind w:hanging="426" w:left="426"/>
        <w:jc w:val="both"/>
        <w:rPr>
          <w:rStyle w:val="C3"/>
          <w:rFonts w:ascii="Courier New" w:hAnsi="Courier New"/>
        </w:rPr>
      </w:pPr>
      <w:r>
        <w:rPr>
          <w:rStyle w:val="C3"/>
          <w:rFonts w:ascii="Courier New" w:hAnsi="Courier New"/>
        </w:rPr>
        <w:t xml:space="preserve"> </w:t>
      </w: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6</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Consejo estará integrado por representantes de los diferentes sectores de la comunidad que desean participar, tales como los del sector público (gobernantes y administradores); los del sector privado con fines de lucro como empresas, comercios, industrias, etc.; las entidades del tercer sector sin fines de lucro como ONG, clubes, organizaciones religiosas, políticas, etc. y de los sectores ciudadanos (individuos y líderes comunitarios naturales). Todos los miembros del Consejo tendrán un suplente elegido de igual forma que el miembro titular. Todas estas formas de participación se ejercerán sin percibir remuneración alguna por parte del Consejo. El Consejo será presidido por el Intendente de la Ciudad o quién éste designe.-</w:t>
      </w:r>
    </w:p>
    <w:p>
      <w:pPr>
        <w:spacing w:before="120" w:after="120"/>
        <w:ind w:hanging="426" w:left="426"/>
        <w:jc w:val="right"/>
        <w:rPr>
          <w:rStyle w:val="C3"/>
          <w:rFonts w:ascii="Courier New" w:hAnsi="Courier New"/>
        </w:rPr>
      </w:pPr>
      <w:r>
        <w:rPr>
          <w:rStyle w:val="C3"/>
          <w:rFonts w:ascii="Courier New" w:hAnsi="Courier New"/>
        </w:rPr>
        <w:t>...///</w:t>
      </w:r>
    </w:p>
    <w:p>
      <w:pPr>
        <w:spacing w:before="120" w:after="120"/>
        <w:ind w:hanging="426" w:left="426"/>
        <w:jc w:val="both"/>
        <w:rPr>
          <w:rStyle w:val="C3"/>
          <w:rFonts w:ascii="Courier New" w:hAnsi="Courier New"/>
        </w:rPr>
      </w:pPr>
    </w:p>
    <w:p>
      <w:pPr>
        <w:spacing w:before="120" w:after="120"/>
        <w:ind w:hanging="426" w:left="426"/>
        <w:jc w:val="both"/>
        <w:rPr>
          <w:rStyle w:val="C3"/>
          <w:rFonts w:ascii="Courier New" w:hAnsi="Courier New"/>
        </w:rPr>
      </w:pPr>
    </w:p>
    <w:p>
      <w:pPr>
        <w:spacing w:before="120" w:after="120"/>
        <w:ind w:hanging="426" w:left="426"/>
        <w:jc w:val="both"/>
        <w:rPr>
          <w:rStyle w:val="C3"/>
          <w:rFonts w:ascii="Courier New" w:hAnsi="Courier New"/>
        </w:rPr>
      </w:pPr>
    </w:p>
    <w:p>
      <w:pPr>
        <w:spacing w:before="120" w:after="120"/>
        <w:ind w:hanging="426" w:left="426"/>
        <w:jc w:val="both"/>
        <w:rPr>
          <w:rStyle w:val="C3"/>
          <w:rFonts w:ascii="Courier New" w:hAnsi="Courier New"/>
        </w:rPr>
      </w:pPr>
    </w:p>
    <w:p>
      <w:pPr>
        <w:pStyle w:val="P11"/>
        <w:ind w:left="567"/>
        <w:rPr>
          <w:rStyle w:val="C3"/>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...///6.-</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7</w:t>
      </w:r>
      <w:r>
        <w:rPr>
          <w:rStyle w:val="C3"/>
          <w:rFonts w:ascii="Courier New" w:hAnsi="Courier New"/>
          <w:b w:val="1"/>
        </w:rPr>
        <w:t>: A</w:t>
      </w:r>
      <w:r>
        <w:rPr>
          <w:rStyle w:val="C3"/>
          <w:rFonts w:ascii="Courier New" w:hAnsi="Courier New"/>
        </w:rPr>
        <w:t xml:space="preserve"> los fines de consulta y articulación, el Consejo podrá invitar a personas físicas, instituciones y funcionarios pertinentes a la temática a tratar en sus reuniones.-</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8</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Consejo dictará su propio Reglamento Interno, que deberá incluir a un Presidente, un Coordinador, un Secretario de Actas y un Secretario de Organización y Finanzas, los demás integrantes se denominarán consejeros.- </w:t>
      </w:r>
    </w:p>
    <w:p>
      <w:pPr>
        <w:ind w:hanging="425" w:left="425"/>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9</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Consejo presentará la nómina de sus integrantes y la organización interna al Departamento Ejecutivo Municipal y al Honorable Concejo Deliberante para su reconocimiento.-</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CINCO DÍAS DEL MES DE MAYO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5">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4"/>
  </w:num>
  <w:num w:numId="2">
    <w:abstractNumId w:val="2"/>
  </w:num>
  <w:num w:numId="3">
    <w:abstractNumId w:val="3"/>
  </w:num>
  <w:num w:numId="4">
    <w:abstractNumId w:val="6"/>
  </w:num>
  <w:num w:numId="5">
    <w:abstractNumId w:val="7"/>
  </w:num>
  <w:num w:numId="6">
    <w:abstractNumId w:val="1"/>
  </w:num>
  <w:num w:numId="7">
    <w:abstractNumId w:val="5"/>
  </w:num>
  <w:num w:numId="8">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independiente primera sangría"/>
    <w:basedOn w:val="P11"/>
    <w:next w:val="P27"/>
    <w:link w:val="C8"/>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independiente primera sangría Car"/>
    <w:basedOn w:val="C5"/>
    <w:link w:val="P27"/>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2010-05-07T11:24:00Z</dcterms:created>
  <cp:lastModifiedBy>Ethan Puglia</cp:lastModifiedBy>
  <cp:lastPrinted>2010-05-07T11:57:00Z</cp:lastPrinted>
  <dcterms:modified xsi:type="dcterms:W3CDTF">2019-03-28T17:34:21Z</dcterms:modified>
  <cp:revision>7</cp:revision>
  <dc:title>PROYECTO DE ORDENANZA VIOLENCIA FAMILIAR</dc:title>
</cp:coreProperties>
</file>