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9535A4F" Type="http://schemas.openxmlformats.org/officeDocument/2006/relationships/officeDocument" Target="/word/document.xml" /><Relationship Id="coreR49535A4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8633</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Nº 7020;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pStyle w:val="P13"/>
        <w:ind w:firstLine="0" w:left="567"/>
      </w:pPr>
      <w:r>
        <w:t>Que mediante Ordenanza Nº 7020 se declaró de interés público y pago obligatorio la extensión de la Red colectora cloacal domiciliara de los sectores no servidos por la misma;</w:t>
      </w:r>
    </w:p>
    <w:p>
      <w:pPr>
        <w:pStyle w:val="P13"/>
        <w:ind w:left="567"/>
      </w:pPr>
    </w:p>
    <w:p>
      <w:pPr>
        <w:pStyle w:val="P13"/>
        <w:ind w:firstLine="0" w:left="567"/>
      </w:pPr>
      <w:r>
        <w:t>Que es deber del Estado Municipal velar por la Salud Pública y la protección del Medio Ambiente, conforme lo prescripto por nuestra Carta Orgánica Municipal;</w:t>
      </w:r>
    </w:p>
    <w:p>
      <w:pPr>
        <w:pStyle w:val="P13"/>
        <w:ind w:left="567"/>
      </w:pPr>
    </w:p>
    <w:p>
      <w:pPr>
        <w:pStyle w:val="P13"/>
        <w:ind w:firstLine="0" w:left="567"/>
      </w:pPr>
      <w:r>
        <w:t>Que oportunamente el Honorable Concejo Deliberante, mediante Ordenanza N° 6886 declaró “Alerta Medio Ambiental” en todo el ámbito de la Ciudad de Alta Gracia, en pos de prevenir la contaminación de los arroyos y Barrios de nuestra Ciudad;</w:t>
      </w:r>
    </w:p>
    <w:p>
      <w:pPr>
        <w:pStyle w:val="P13"/>
        <w:ind w:left="567"/>
      </w:pPr>
    </w:p>
    <w:p>
      <w:pPr>
        <w:pStyle w:val="P13"/>
        <w:ind w:firstLine="0" w:left="567"/>
      </w:pPr>
      <w:r>
        <w:t>Que la extensión de la red colectora cloacal en Barrio Sur reviste vital importancia para nuestra ciudad por encontrarse dicho barrio en colindancia con el curso de nuestro Arroyo Chicamtoltina;</w:t>
      </w:r>
    </w:p>
    <w:p>
      <w:pPr>
        <w:pStyle w:val="P13"/>
        <w:ind w:left="567"/>
      </w:pPr>
    </w:p>
    <w:p>
      <w:pPr>
        <w:pStyle w:val="P13"/>
        <w:ind w:firstLine="0" w:left="567"/>
      </w:pPr>
      <w:r>
        <w:t>Que no obstante la voluntad de numerosos vecinos para la realización de la obra, se hace imposible alcanzar los porcentajes exigidos por la normativa de referencia;</w:t>
      </w:r>
    </w:p>
    <w:p>
      <w:pPr>
        <w:ind w:left="567"/>
        <w:jc w:val="both"/>
        <w:rPr>
          <w:rStyle w:val="C3"/>
          <w:rFonts w:ascii="Courier New" w:hAnsi="Courier New"/>
        </w:rPr>
      </w:pPr>
    </w:p>
    <w:p>
      <w:pPr>
        <w:jc w:val="right"/>
        <w:rPr>
          <w:rStyle w:val="C3"/>
          <w:rFonts w:ascii="Courier New" w:hAnsi="Courier New"/>
        </w:rPr>
      </w:pPr>
      <w:r>
        <w:rPr>
          <w:rStyle w:val="C3"/>
          <w:rFonts w:ascii="Courier New" w:hAnsi="Courier New"/>
        </w:rPr>
        <w:t>...///</w:t>
      </w: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analizado el Proyecto de Ordenanza de referencia por la totalidad de los Concejales presentes, se resuelve, por unanimidad, su aprobación en Sesión Ordinaria del día 12 de Mayo de 2010.-</w:t>
      </w:r>
    </w:p>
    <w:p>
      <w:pPr>
        <w:pStyle w:val="P11"/>
        <w:ind w:left="567"/>
        <w:rPr>
          <w:rStyle w:val="C3"/>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left="567"/>
        <w:rPr>
          <w:rStyle w:val="C3"/>
        </w:rPr>
      </w:pPr>
    </w:p>
    <w:p>
      <w:pPr>
        <w:pStyle w:val="P20"/>
        <w:ind w:hanging="426" w:left="426"/>
        <w:jc w:val="both"/>
        <w:rPr>
          <w:rStyle w:val="C3"/>
          <w:b w:val="1"/>
          <w:sz w:val="24"/>
          <w:u w:val="single"/>
        </w:rPr>
      </w:pPr>
    </w:p>
    <w:p>
      <w:pPr>
        <w:pStyle w:val="P20"/>
        <w:tabs>
          <w:tab w:val="left" w:pos="1134" w:leader="none"/>
          <w:tab w:val="left" w:pos="1843" w:leader="none"/>
        </w:tabs>
        <w:ind w:hanging="426" w:left="426"/>
        <w:jc w:val="both"/>
        <w:rPr>
          <w:rStyle w:val="C3"/>
          <w:sz w:val="24"/>
        </w:rPr>
      </w:pPr>
      <w:r>
        <w:rPr>
          <w:rStyle w:val="C3"/>
          <w:b w:val="1"/>
          <w:sz w:val="24"/>
          <w:u w:val="single"/>
        </w:rPr>
        <w:t>Art.1</w:t>
      </w:r>
      <w:r>
        <w:rPr>
          <w:rStyle w:val="C3"/>
          <w:sz w:val="24"/>
        </w:rPr>
        <w:t>:</w:t>
      </w:r>
      <w:r>
        <w:rPr>
          <w:rStyle w:val="C3"/>
          <w:color w:val="FFFFFF"/>
          <w:sz w:val="24"/>
        </w:rPr>
        <w:t>W</w:t>
      </w:r>
      <w:r>
        <w:rPr>
          <w:rStyle w:val="C3"/>
          <w:b w:val="1"/>
          <w:sz w:val="24"/>
        </w:rPr>
        <w:t xml:space="preserve">EXCEPTÚESE </w:t>
      </w:r>
      <w:r>
        <w:rPr>
          <w:rStyle w:val="C3"/>
          <w:sz w:val="24"/>
        </w:rPr>
        <w:t>al Departamento Ejecutivo del cumplimiento del procedimiento previsto en el Art.2º inc.b de la Ordenanza N° 7020 a los fines de la realización de la extensión de la red colectora cloacal en Barrio Sur de esta Ciudad, realizada por Administración.-</w:t>
      </w: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Art.2</w:t>
      </w:r>
      <w:r>
        <w:rPr>
          <w:rStyle w:val="C3"/>
          <w:b w:val="1"/>
          <w:sz w:val="24"/>
        </w:rPr>
        <w:t>:</w:t>
      </w:r>
      <w:r>
        <w:rPr>
          <w:rStyle w:val="C3"/>
          <w:b w:val="1"/>
          <w:sz w:val="24"/>
        </w:rPr>
        <w:t xml:space="preserve"> </w:t>
      </w:r>
      <w:r>
        <w:rPr>
          <w:rStyle w:val="C3"/>
          <w:b w:val="1"/>
          <w:sz w:val="24"/>
        </w:rPr>
        <w:t xml:space="preserve">AUTORÍZASE </w:t>
      </w:r>
      <w:r>
        <w:rPr>
          <w:rStyle w:val="C3"/>
          <w:sz w:val="24"/>
        </w:rPr>
        <w:t>al Departamento Ejecutivo a declarar de utilidad pública y pago obligatorio la obra referida en el Art.1º y otorgar facilidades de pago a aquellos vecinos frentistas, que según informe socioeconómico, se encuentren con dificultades para hacer frente al pago de la obra.-</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DOCE DÍAS DEL MES DE MAYO DEL AÑO DOS MIL DIEZ.-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3783889F">
      <w:start w:val="0"/>
      <w:numFmt w:val="bullet"/>
      <w:suff w:val="tab"/>
      <w:lvlText w:val=""/>
      <w:lvlJc w:val="left"/>
      <w:pPr>
        <w:ind w:hanging="360" w:left="927"/>
      </w:pPr>
      <w:rPr>
        <w:rFonts w:ascii="Symbol" w:hAnsi="Symbol"/>
      </w:rPr>
    </w:lvl>
    <w:lvl w:ilvl="1" w:tplc="60210BD0">
      <w:start w:val="1"/>
      <w:numFmt w:val="bullet"/>
      <w:suff w:val="tab"/>
      <w:lvlText w:val="o"/>
      <w:lvlJc w:val="left"/>
      <w:pPr>
        <w:ind w:hanging="360" w:left="1647"/>
      </w:pPr>
      <w:rPr>
        <w:rFonts w:ascii="Courier New" w:hAnsi="Courier New"/>
      </w:rPr>
    </w:lvl>
    <w:lvl w:ilvl="2" w:tplc="2E2D0A22">
      <w:start w:val="1"/>
      <w:numFmt w:val="bullet"/>
      <w:suff w:val="tab"/>
      <w:lvlText w:val=""/>
      <w:lvlJc w:val="left"/>
      <w:pPr>
        <w:ind w:hanging="360" w:left="2367"/>
      </w:pPr>
      <w:rPr>
        <w:rFonts w:ascii="Wingdings" w:hAnsi="Wingdings"/>
      </w:rPr>
    </w:lvl>
    <w:lvl w:ilvl="3" w:tplc="4F355289">
      <w:start w:val="1"/>
      <w:numFmt w:val="bullet"/>
      <w:suff w:val="tab"/>
      <w:lvlText w:val=""/>
      <w:lvlJc w:val="left"/>
      <w:pPr>
        <w:ind w:hanging="360" w:left="3087"/>
      </w:pPr>
      <w:rPr>
        <w:rFonts w:ascii="Symbol" w:hAnsi="Symbol"/>
      </w:rPr>
    </w:lvl>
    <w:lvl w:ilvl="4" w:tplc="33A36B78">
      <w:start w:val="1"/>
      <w:numFmt w:val="bullet"/>
      <w:suff w:val="tab"/>
      <w:lvlText w:val="o"/>
      <w:lvlJc w:val="left"/>
      <w:pPr>
        <w:ind w:hanging="360" w:left="3807"/>
      </w:pPr>
      <w:rPr>
        <w:rFonts w:ascii="Courier New" w:hAnsi="Courier New"/>
      </w:rPr>
    </w:lvl>
    <w:lvl w:ilvl="5" w:tplc="5CA33FA0">
      <w:start w:val="1"/>
      <w:numFmt w:val="bullet"/>
      <w:suff w:val="tab"/>
      <w:lvlText w:val=""/>
      <w:lvlJc w:val="left"/>
      <w:pPr>
        <w:ind w:hanging="360" w:left="4527"/>
      </w:pPr>
      <w:rPr>
        <w:rFonts w:ascii="Wingdings" w:hAnsi="Wingdings"/>
      </w:rPr>
    </w:lvl>
    <w:lvl w:ilvl="6" w:tplc="789EE940">
      <w:start w:val="1"/>
      <w:numFmt w:val="bullet"/>
      <w:suff w:val="tab"/>
      <w:lvlText w:val=""/>
      <w:lvlJc w:val="left"/>
      <w:pPr>
        <w:ind w:hanging="360" w:left="5247"/>
      </w:pPr>
      <w:rPr>
        <w:rFonts w:ascii="Symbol" w:hAnsi="Symbol"/>
      </w:rPr>
    </w:lvl>
    <w:lvl w:ilvl="7" w:tplc="3836DDE1">
      <w:start w:val="1"/>
      <w:numFmt w:val="bullet"/>
      <w:suff w:val="tab"/>
      <w:lvlText w:val="o"/>
      <w:lvlJc w:val="left"/>
      <w:pPr>
        <w:ind w:hanging="360" w:left="5967"/>
      </w:pPr>
      <w:rPr>
        <w:rFonts w:ascii="Courier New" w:hAnsi="Courier New"/>
      </w:rPr>
    </w:lvl>
    <w:lvl w:ilvl="8" w:tplc="37C84D10">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3"/>
  </w:num>
  <w:num w:numId="3">
    <w:abstractNumId w:val="4"/>
  </w:num>
  <w:num w:numId="4">
    <w:abstractNumId w:val="7"/>
  </w:num>
  <w:num w:numId="5">
    <w:abstractNumId w:val="8"/>
  </w:num>
  <w:num w:numId="6">
    <w:abstractNumId w:val="2"/>
  </w:num>
  <w:num w:numId="7">
    <w:abstractNumId w:val="6"/>
  </w:num>
  <w:num w:numId="8">
    <w:abstractNumId w:val="0"/>
  </w:num>
  <w:num w:numId="9">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Texto independiente primera sangría"/>
    <w:basedOn w:val="P11"/>
    <w:next w:val="P28"/>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8"/>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2010-05-14T11:50:00Z</dcterms:created>
  <cp:lastModifiedBy>Ethan Puglia</cp:lastModifiedBy>
  <cp:lastPrinted>2010-05-14T12:30:00Z</cp:lastPrinted>
  <dcterms:modified xsi:type="dcterms:W3CDTF">2019-03-28T17:34:21Z</dcterms:modified>
  <cp:revision>8</cp:revision>
  <dc:title>PROYECTO DE ORDENANZA VIOLENCIA FAMILIAR</dc:title>
</cp:coreProperties>
</file>