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571C168B" Type="http://schemas.openxmlformats.org/officeDocument/2006/relationships/officeDocument" Target="/word/document.xml" /><Relationship Id="coreR571C168B"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6"/>
        <w:ind w:hanging="454" w:left="567"/>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b w:val="1"/>
          <w:sz w:val="24"/>
        </w:rPr>
      </w:pPr>
      <w:r>
        <w:rPr>
          <w:rStyle w:val="C3"/>
          <w:rFonts w:ascii="JaneAusten" w:hAnsi="JaneAusten"/>
          <w:b w:val="0"/>
          <w:sz w:val="24"/>
        </w:rPr>
        <w:t>“2010 Año del Bicentenario de la Revolución de Mayo”</w:t>
      </w:r>
    </w:p>
    <w:p>
      <w:pPr>
        <w:pStyle w:val="P4"/>
        <w:rPr>
          <w:rStyle w:val="C3"/>
        </w:rPr>
      </w:pPr>
    </w:p>
    <w:p>
      <w:pPr>
        <w:pStyle w:val="P4"/>
        <w:rPr>
          <w:rStyle w:val="C3"/>
        </w:rPr>
      </w:pPr>
    </w:p>
    <w:p>
      <w:pPr>
        <w:pStyle w:val="P4"/>
      </w:pPr>
      <w:r>
        <w:t>ORDENANZA Nº 8634</w:t>
      </w:r>
    </w:p>
    <w:p>
      <w:pPr>
        <w:ind w:hanging="561" w:left="561"/>
        <w:jc w:val="both"/>
        <w:rPr>
          <w:rStyle w:val="C3"/>
          <w:rFonts w:ascii="Courier New" w:hAnsi="Courier New"/>
        </w:rPr>
      </w:pPr>
    </w:p>
    <w:p>
      <w:pPr>
        <w:ind w:hanging="561" w:left="561"/>
        <w:jc w:val="both"/>
        <w:rPr>
          <w:rStyle w:val="C3"/>
          <w:rFonts w:ascii="Courier New" w:hAnsi="Courier New"/>
        </w:rPr>
      </w:pPr>
    </w:p>
    <w:p>
      <w:pPr>
        <w:ind w:hanging="561" w:left="561"/>
        <w:jc w:val="both"/>
        <w:rPr>
          <w:rStyle w:val="C3"/>
          <w:rFonts w:ascii="Courier New" w:hAnsi="Courier New"/>
        </w:rPr>
      </w:pPr>
      <w:r>
        <w:rPr>
          <w:rStyle w:val="C3"/>
          <w:rFonts w:ascii="Courier New" w:hAnsi="Courier New"/>
        </w:rPr>
        <w:t>Visto: La necesidad de organizar el tránsito vehicular en el predio del ferrocarril; y</w:t>
      </w:r>
    </w:p>
    <w:p>
      <w:pPr>
        <w:ind w:hanging="561" w:left="561"/>
        <w:jc w:val="both"/>
        <w:rPr>
          <w:rStyle w:val="C3"/>
          <w:rFonts w:ascii="Courier New" w:hAnsi="Courier New"/>
        </w:rPr>
      </w:pPr>
    </w:p>
    <w:p>
      <w:pPr>
        <w:ind w:hanging="561" w:left="561"/>
        <w:jc w:val="both"/>
        <w:rPr>
          <w:rStyle w:val="C3"/>
          <w:rFonts w:ascii="Courier New" w:hAnsi="Courier New"/>
        </w:rPr>
      </w:pPr>
    </w:p>
    <w:p>
      <w:pPr>
        <w:ind w:hanging="561" w:left="561"/>
        <w:jc w:val="both"/>
        <w:rPr>
          <w:rStyle w:val="C3"/>
          <w:rFonts w:ascii="Courier New" w:hAnsi="Courier New"/>
        </w:rPr>
      </w:pPr>
    </w:p>
    <w:p>
      <w:pPr>
        <w:pStyle w:val="P2"/>
      </w:pPr>
      <w:r>
        <w:t>C O N S I D E R A N D O</w:t>
      </w:r>
    </w:p>
    <w:p/>
    <w:p/>
    <w:p>
      <w:pPr>
        <w:pStyle w:val="P13"/>
        <w:ind w:firstLine="0" w:left="567"/>
      </w:pPr>
      <w:r>
        <w:t>Que en dicho predio se está armando desde el año 2008 un Museo de sitio con elementos que se van recuperando que pertenecieron a los años en que el ferrocarril llegaba a nuestra Ciudad y a otras Ciudades;</w:t>
      </w:r>
    </w:p>
    <w:p>
      <w:pPr>
        <w:pStyle w:val="P13"/>
        <w:ind w:left="567"/>
      </w:pPr>
    </w:p>
    <w:p>
      <w:pPr>
        <w:pStyle w:val="P13"/>
        <w:ind w:firstLine="0" w:left="567"/>
      </w:pPr>
      <w:r>
        <w:t>Que en horas de la mañana funciona el Registro Civil al que concurre gran cantidad de personas en sus vehículos particulares;</w:t>
      </w:r>
    </w:p>
    <w:p>
      <w:pPr>
        <w:pStyle w:val="P13"/>
        <w:ind w:left="567"/>
      </w:pPr>
    </w:p>
    <w:p>
      <w:pPr>
        <w:pStyle w:val="P13"/>
        <w:ind w:firstLine="0" w:left="567"/>
      </w:pPr>
      <w:r>
        <w:t>Que el predio en cuestión es visitado por muchos niños y adolescentes de nuestra Ciudad, donde también en horas de la tarde se dictan cursos y talleres en las instalaciones de la ex estación haciéndose necesario un lugar de estacionamiento;</w:t>
      </w:r>
    </w:p>
    <w:p>
      <w:pPr>
        <w:pStyle w:val="P13"/>
        <w:ind w:left="567"/>
      </w:pPr>
    </w:p>
    <w:p>
      <w:pPr>
        <w:pStyle w:val="P13"/>
        <w:ind w:firstLine="0" w:left="567"/>
      </w:pPr>
      <w:r>
        <w:t xml:space="preserve">Que personas que forman la Comisión del Museo Ferroviario “25  Julio de 1891” controlan, cuidan y mantienen el predio en condiciones para ser visitado por turistas y locales;</w:t>
      </w:r>
    </w:p>
    <w:p>
      <w:pPr>
        <w:pStyle w:val="P13"/>
        <w:ind w:firstLine="0" w:left="567"/>
      </w:pPr>
    </w:p>
    <w:p>
      <w:pPr>
        <w:pStyle w:val="P13"/>
        <w:ind w:firstLine="0" w:left="567"/>
      </w:pPr>
      <w:r>
        <w:t>Que la formación del Museo Ferroviario requiere de ingresos que no siempre puede brindar el Municipio;</w:t>
      </w:r>
    </w:p>
    <w:p>
      <w:pPr>
        <w:ind w:left="567"/>
        <w:jc w:val="both"/>
        <w:rPr>
          <w:rStyle w:val="C3"/>
          <w:rFonts w:ascii="Courier New" w:hAnsi="Courier New"/>
        </w:rPr>
      </w:pPr>
    </w:p>
    <w:p>
      <w:pPr>
        <w:jc w:val="right"/>
        <w:rPr>
          <w:rStyle w:val="C3"/>
          <w:rFonts w:ascii="Courier New" w:hAnsi="Courier New"/>
        </w:rPr>
      </w:pPr>
      <w:r>
        <w:rPr>
          <w:rStyle w:val="C3"/>
          <w:rFonts w:ascii="Courier New" w:hAnsi="Courier New"/>
        </w:rPr>
        <w:t>...///</w:t>
      </w:r>
    </w:p>
    <w:p>
      <w:pPr>
        <w:ind w:left="600"/>
        <w:jc w:val="both"/>
        <w:rPr>
          <w:rStyle w:val="C3"/>
          <w:rFonts w:ascii="Courier New" w:hAnsi="Courier New"/>
        </w:rPr>
      </w:pPr>
    </w:p>
    <w:p>
      <w:pPr>
        <w:ind w:left="600"/>
        <w:jc w:val="both"/>
        <w:rPr>
          <w:rStyle w:val="C3"/>
          <w:rFonts w:ascii="Courier New" w:hAnsi="Courier New"/>
        </w:rPr>
      </w:pPr>
    </w:p>
    <w:p>
      <w:pPr>
        <w:ind w:left="600"/>
        <w:jc w:val="both"/>
        <w:rPr>
          <w:rStyle w:val="C3"/>
          <w:rFonts w:ascii="Courier New" w:hAnsi="Courier New"/>
        </w:rPr>
      </w:pPr>
    </w:p>
    <w:p>
      <w:pPr>
        <w:ind w:left="600"/>
        <w:jc w:val="both"/>
        <w:rPr>
          <w:rStyle w:val="C3"/>
          <w:rFonts w:ascii="Courier New" w:hAnsi="Courier New"/>
        </w:rPr>
      </w:pPr>
    </w:p>
    <w:p>
      <w:pPr>
        <w:ind w:left="600"/>
        <w:jc w:val="both"/>
        <w:rPr>
          <w:rStyle w:val="C3"/>
          <w:rFonts w:ascii="Courier New" w:hAnsi="Courier New"/>
        </w:rPr>
      </w:pPr>
    </w:p>
    <w:p>
      <w:pPr>
        <w:ind w:left="600"/>
        <w:jc w:val="both"/>
        <w:rPr>
          <w:rStyle w:val="C3"/>
          <w:rFonts w:ascii="Courier New" w:hAnsi="Courier New"/>
        </w:rPr>
      </w:pPr>
    </w:p>
    <w:p>
      <w:pPr>
        <w:ind w:left="600"/>
        <w:jc w:val="both"/>
        <w:rPr>
          <w:rStyle w:val="C3"/>
          <w:rFonts w:ascii="Courier New" w:hAnsi="Courier New"/>
        </w:rPr>
      </w:pPr>
    </w:p>
    <w:p>
      <w:pPr>
        <w:ind w:left="600"/>
        <w:jc w:val="both"/>
        <w:rPr>
          <w:rStyle w:val="C3"/>
          <w:rFonts w:ascii="Courier New" w:hAnsi="Courier New"/>
        </w:rPr>
      </w:pPr>
    </w:p>
    <w:p>
      <w:pPr>
        <w:ind w:left="600"/>
        <w:jc w:val="both"/>
        <w:rPr>
          <w:rStyle w:val="C3"/>
          <w:rFonts w:ascii="Courier New" w:hAnsi="Courier New"/>
        </w:rPr>
      </w:pPr>
    </w:p>
    <w:p>
      <w:pPr>
        <w:ind w:left="600"/>
        <w:jc w:val="both"/>
        <w:rPr>
          <w:rStyle w:val="C3"/>
          <w:rFonts w:ascii="Courier New" w:hAnsi="Courier New"/>
        </w:rPr>
      </w:pPr>
    </w:p>
    <w:p>
      <w:pPr>
        <w:pStyle w:val="P16"/>
        <w:ind w:left="113"/>
        <w:jc w:val="center"/>
        <w:rPr>
          <w:rStyle w:val="C3"/>
          <w:rFonts w:ascii="JaneAusten" w:hAnsi="JaneAusten"/>
          <w:b w:val="1"/>
          <w:sz w:val="24"/>
        </w:rPr>
      </w:pPr>
    </w:p>
    <w:p>
      <w:pPr>
        <w:pStyle w:val="P16"/>
        <w:ind w:left="113"/>
        <w:jc w:val="center"/>
        <w:rPr>
          <w:rStyle w:val="C3"/>
          <w:b w:val="1"/>
          <w:sz w:val="24"/>
        </w:rPr>
      </w:pPr>
      <w:r>
        <w:rPr>
          <w:rStyle w:val="C3"/>
          <w:rFonts w:ascii="JaneAusten" w:hAnsi="JaneAusten"/>
          <w:b w:val="0"/>
          <w:sz w:val="24"/>
        </w:rPr>
        <w:t>“2010 Año del Bicentenario de la Revolución de Mayo”</w:t>
      </w:r>
    </w:p>
    <w:p>
      <w:pPr>
        <w:pStyle w:val="P11"/>
        <w:rPr>
          <w:rStyle w:val="C3"/>
        </w:rPr>
      </w:pPr>
    </w:p>
    <w:p>
      <w:pPr>
        <w:pStyle w:val="P11"/>
      </w:pPr>
      <w:r>
        <w:t>...///2.-</w:t>
      </w:r>
    </w:p>
    <w:p>
      <w:pPr>
        <w:ind w:left="600"/>
        <w:jc w:val="both"/>
        <w:rPr>
          <w:rStyle w:val="C3"/>
          <w:rFonts w:ascii="Courier New" w:hAnsi="Courier New"/>
        </w:rPr>
      </w:pPr>
    </w:p>
    <w:p>
      <w:pPr>
        <w:ind w:left="600"/>
        <w:jc w:val="both"/>
        <w:rPr>
          <w:rStyle w:val="C3"/>
          <w:rFonts w:ascii="Courier New" w:hAnsi="Courier New"/>
        </w:rPr>
      </w:pPr>
      <w:r>
        <w:rPr>
          <w:rStyle w:val="C3"/>
          <w:rFonts w:ascii="Courier New" w:hAnsi="Courier New"/>
        </w:rPr>
        <w:t>Que analizado el Proyecto de Ordenanza de referencia por la totalidad de los Concejales presentes, se resuelve, por unanimidad, su aprobación en Sesión Ordinaria del día 12 de Mayo de 2010.-</w:t>
      </w:r>
    </w:p>
    <w:p>
      <w:pPr>
        <w:pStyle w:val="P11"/>
        <w:ind w:left="567"/>
        <w:rPr>
          <w:rStyle w:val="C3"/>
        </w:rPr>
      </w:pPr>
    </w:p>
    <w:p>
      <w:pPr>
        <w:jc w:val="center"/>
        <w:rPr>
          <w:rStyle w:val="C3"/>
          <w:rFonts w:ascii="Courier New" w:hAnsi="Courier New"/>
          <w:b w:val="1"/>
        </w:rPr>
      </w:pPr>
    </w:p>
    <w:p>
      <w:pPr>
        <w:jc w:val="center"/>
        <w:rPr>
          <w:rStyle w:val="C3"/>
          <w:rFonts w:ascii="Courier New" w:hAnsi="Courier New"/>
          <w:b w:val="1"/>
        </w:rPr>
      </w:pPr>
      <w:r>
        <w:rPr>
          <w:rStyle w:val="C3"/>
          <w:rFonts w:ascii="Courier New" w:hAnsi="Courier New"/>
          <w:b w:val="1"/>
        </w:rPr>
        <w:t>EL HONORABLE CONCEJO DELIBERANTE DE LA CIUDAD DE</w:t>
      </w:r>
    </w:p>
    <w:p>
      <w:pPr>
        <w:jc w:val="center"/>
        <w:rPr>
          <w:rStyle w:val="C3"/>
          <w:rFonts w:ascii="Courier New" w:hAnsi="Courier New"/>
          <w:b w:val="1"/>
        </w:rPr>
      </w:pPr>
    </w:p>
    <w:p>
      <w:pPr>
        <w:pStyle w:val="P12"/>
        <w:ind w:left="561"/>
        <w:rPr>
          <w:rStyle w:val="C3"/>
          <w:b w:val="1"/>
        </w:rPr>
      </w:pPr>
      <w:r>
        <w:rPr>
          <w:rStyle w:val="C3"/>
          <w:b w:val="1"/>
        </w:rPr>
        <w:t xml:space="preserve">    ALTA GRACIA SANCIONA CON FUERZA DE ORDENANZA</w:t>
      </w:r>
    </w:p>
    <w:p>
      <w:pPr>
        <w:pStyle w:val="P11"/>
        <w:ind w:left="567"/>
        <w:rPr>
          <w:rStyle w:val="C3"/>
        </w:rPr>
      </w:pPr>
    </w:p>
    <w:p>
      <w:pPr>
        <w:pStyle w:val="P20"/>
        <w:ind w:hanging="426" w:left="426"/>
        <w:jc w:val="both"/>
        <w:rPr>
          <w:rStyle w:val="C3"/>
          <w:b w:val="1"/>
          <w:sz w:val="24"/>
          <w:u w:val="single"/>
        </w:rPr>
      </w:pPr>
    </w:p>
    <w:p>
      <w:pPr>
        <w:pStyle w:val="P20"/>
        <w:tabs>
          <w:tab w:val="left" w:pos="1134" w:leader="none"/>
          <w:tab w:val="left" w:pos="1843" w:leader="none"/>
        </w:tabs>
        <w:ind w:hanging="426" w:left="426"/>
        <w:jc w:val="both"/>
        <w:rPr>
          <w:rStyle w:val="C3"/>
          <w:sz w:val="24"/>
        </w:rPr>
      </w:pPr>
      <w:r>
        <w:rPr>
          <w:rStyle w:val="C3"/>
          <w:b w:val="1"/>
          <w:sz w:val="24"/>
          <w:u w:val="single"/>
        </w:rPr>
        <w:t>Art.1</w:t>
      </w:r>
      <w:r>
        <w:rPr>
          <w:rStyle w:val="C3"/>
          <w:sz w:val="24"/>
        </w:rPr>
        <w:t xml:space="preserve">: </w:t>
      </w:r>
      <w:r>
        <w:rPr>
          <w:rStyle w:val="C3"/>
          <w:b w:val="1"/>
          <w:sz w:val="24"/>
        </w:rPr>
        <w:t xml:space="preserve">DELEGAR </w:t>
      </w:r>
      <w:r>
        <w:rPr>
          <w:rStyle w:val="C3"/>
          <w:sz w:val="24"/>
        </w:rPr>
        <w:t>en la Comisión del Museo Ferroviario “25 de Julio de 1891” el cuidado y mantenimiento de una parte del predio del ferrocarril con la posibilidad de organizar una playa de estacionamiento, desde la entrada por Avenida del Libertador hasta donde se encuentra la casilla con la balanza. Lo recaudado servirá para el mantenimiento, cuidado de la playa y crecimiento del Museo Ferroviario. Los comprobantes de la recaudación serán controlados por el Tribunal de Cuentas Municipal.-</w:t>
      </w:r>
    </w:p>
    <w:p>
      <w:pPr>
        <w:pStyle w:val="P20"/>
        <w:ind w:hanging="426" w:left="426"/>
        <w:jc w:val="both"/>
        <w:rPr>
          <w:rStyle w:val="C3"/>
          <w:sz w:val="24"/>
        </w:rPr>
      </w:pPr>
    </w:p>
    <w:p>
      <w:pPr>
        <w:pStyle w:val="P20"/>
        <w:ind w:hanging="426" w:left="426"/>
        <w:jc w:val="both"/>
        <w:rPr>
          <w:rStyle w:val="C3"/>
          <w:sz w:val="24"/>
        </w:rPr>
      </w:pPr>
      <w:r>
        <w:rPr>
          <w:rStyle w:val="C3"/>
          <w:b w:val="1"/>
          <w:sz w:val="24"/>
          <w:u w:val="single"/>
        </w:rPr>
        <w:t>Art.2</w:t>
      </w:r>
      <w:r>
        <w:rPr>
          <w:rStyle w:val="C3"/>
          <w:b w:val="1"/>
          <w:sz w:val="24"/>
        </w:rPr>
        <w:t>:</w:t>
      </w:r>
      <w:r>
        <w:rPr>
          <w:rStyle w:val="C3"/>
          <w:b w:val="1"/>
          <w:sz w:val="24"/>
        </w:rPr>
        <w:t xml:space="preserve"> </w:t>
      </w:r>
      <w:r>
        <w:rPr>
          <w:rStyle w:val="C3"/>
          <w:b w:val="1"/>
          <w:sz w:val="24"/>
        </w:rPr>
        <w:t xml:space="preserve">FIJAR </w:t>
      </w:r>
      <w:r>
        <w:rPr>
          <w:rStyle w:val="C3"/>
          <w:sz w:val="24"/>
        </w:rPr>
        <w:t xml:space="preserve">la suma de pesos UNO ($1)  como monto a cobrar por hora y por coche estacionado en el predio.-</w:t>
      </w:r>
    </w:p>
    <w:p>
      <w:pPr>
        <w:ind w:hanging="360" w:left="360"/>
        <w:jc w:val="both"/>
        <w:rPr>
          <w:rStyle w:val="C3"/>
          <w:rFonts w:ascii="Courier New" w:hAnsi="Courier New"/>
          <w:b w:val="1"/>
          <w:u w:val="single"/>
        </w:rPr>
      </w:pPr>
    </w:p>
    <w:p>
      <w:pPr>
        <w:ind w:hanging="360" w:left="360"/>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3</w:t>
      </w:r>
      <w:r>
        <w:rPr>
          <w:rStyle w:val="C3"/>
          <w:rFonts w:ascii="Courier New" w:hAnsi="Courier New"/>
          <w:b w:val="1"/>
        </w:rPr>
        <w:t>: PROTOCOLÍCESE,</w:t>
      </w:r>
      <w:r>
        <w:rPr>
          <w:rStyle w:val="C3"/>
          <w:rFonts w:ascii="Courier New" w:hAnsi="Courier New"/>
        </w:rPr>
        <w:t xml:space="preserve"> comuníquese, publíquese en el Boletín Oficial de la ciudad de Alta Gracia, incorpórese al Libro de Ordenanzas y archívese.- </w:t>
      </w:r>
    </w:p>
    <w:p>
      <w:pPr>
        <w:pStyle w:val="P20"/>
        <w:jc w:val="both"/>
        <w:rPr>
          <w:rStyle w:val="C3"/>
          <w:sz w:val="24"/>
        </w:rPr>
      </w:pPr>
    </w:p>
    <w:p>
      <w:pPr>
        <w:pStyle w:val="P17"/>
        <w:rPr>
          <w:rStyle w:val="C3"/>
        </w:rPr>
      </w:pPr>
    </w:p>
    <w:p>
      <w:pPr>
        <w:pStyle w:val="P17"/>
      </w:pPr>
      <w:r>
        <w:t xml:space="preserve">DADA EN LA SALA DE SESIONES DEL HONORABLE CONCEJO DELIBERANTE A LOS DOCE DÍAS DEL MES DE MAYO DEL AÑO DOS MIL DIEZ.- </w:t>
      </w:r>
    </w:p>
    <w:p>
      <w:pPr>
        <w:ind w:hanging="360" w:left="360"/>
        <w:jc w:val="both"/>
        <w:rPr>
          <w:rStyle w:val="C3"/>
          <w:rFonts w:ascii="Courier New" w:hAnsi="Courier New"/>
          <w:b w:val="1"/>
          <w:u w:val="single"/>
        </w:rPr>
      </w:pPr>
    </w:p>
    <w:sectPr>
      <w:type w:val="nextPage"/>
      <w:pgSz w:w="11906" w:h="16838" w:code="0"/>
      <w:pgMar w:left="1701" w:right="1701" w:top="1417" w:bottom="1417" w:header="720" w:footer="720" w:gutter="0"/>
    </w:sectPr>
  </w:body>
</w:document>
</file>

<file path=word/numbering.xml><?xml version="1.0" encoding="utf-8"?>
<w:numbering xmlns:w="http://schemas.openxmlformats.org/wordprocessingml/2006/main">
  <w:abstractNum w:abstractNumId="0">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
    <w:nsid w:val="145A66F1"/>
    <w:multiLevelType w:val="hybridMultilevel"/>
    <w:lvl w:ilvl="0" w:tplc="3B8D239D">
      <w:start w:val="0"/>
      <w:numFmt w:val="bullet"/>
      <w:suff w:val="tab"/>
      <w:lvlText w:val=""/>
      <w:lvlJc w:val="left"/>
      <w:pPr>
        <w:ind w:hanging="360" w:left="927"/>
      </w:pPr>
      <w:rPr>
        <w:rFonts w:ascii="Symbol" w:hAnsi="Symbol"/>
      </w:rPr>
    </w:lvl>
    <w:lvl w:ilvl="1" w:tplc="2B1288B4">
      <w:start w:val="1"/>
      <w:numFmt w:val="bullet"/>
      <w:suff w:val="tab"/>
      <w:lvlText w:val="o"/>
      <w:lvlJc w:val="left"/>
      <w:pPr>
        <w:ind w:hanging="360" w:left="1647"/>
      </w:pPr>
      <w:rPr>
        <w:rFonts w:ascii="Courier New" w:hAnsi="Courier New"/>
      </w:rPr>
    </w:lvl>
    <w:lvl w:ilvl="2" w:tplc="0619CF4E">
      <w:start w:val="1"/>
      <w:numFmt w:val="bullet"/>
      <w:suff w:val="tab"/>
      <w:lvlText w:val=""/>
      <w:lvlJc w:val="left"/>
      <w:pPr>
        <w:ind w:hanging="360" w:left="2367"/>
      </w:pPr>
      <w:rPr>
        <w:rFonts w:ascii="Wingdings" w:hAnsi="Wingdings"/>
      </w:rPr>
    </w:lvl>
    <w:lvl w:ilvl="3" w:tplc="456C5B93">
      <w:start w:val="1"/>
      <w:numFmt w:val="bullet"/>
      <w:suff w:val="tab"/>
      <w:lvlText w:val=""/>
      <w:lvlJc w:val="left"/>
      <w:pPr>
        <w:ind w:hanging="360" w:left="3087"/>
      </w:pPr>
      <w:rPr>
        <w:rFonts w:ascii="Symbol" w:hAnsi="Symbol"/>
      </w:rPr>
    </w:lvl>
    <w:lvl w:ilvl="4" w:tplc="73E4764A">
      <w:start w:val="1"/>
      <w:numFmt w:val="bullet"/>
      <w:suff w:val="tab"/>
      <w:lvlText w:val="o"/>
      <w:lvlJc w:val="left"/>
      <w:pPr>
        <w:ind w:hanging="360" w:left="3807"/>
      </w:pPr>
      <w:rPr>
        <w:rFonts w:ascii="Courier New" w:hAnsi="Courier New"/>
      </w:rPr>
    </w:lvl>
    <w:lvl w:ilvl="5" w:tplc="6FA31CE3">
      <w:start w:val="1"/>
      <w:numFmt w:val="bullet"/>
      <w:suff w:val="tab"/>
      <w:lvlText w:val=""/>
      <w:lvlJc w:val="left"/>
      <w:pPr>
        <w:ind w:hanging="360" w:left="4527"/>
      </w:pPr>
      <w:rPr>
        <w:rFonts w:ascii="Wingdings" w:hAnsi="Wingdings"/>
      </w:rPr>
    </w:lvl>
    <w:lvl w:ilvl="6" w:tplc="2BD0BDDB">
      <w:start w:val="1"/>
      <w:numFmt w:val="bullet"/>
      <w:suff w:val="tab"/>
      <w:lvlText w:val=""/>
      <w:lvlJc w:val="left"/>
      <w:pPr>
        <w:ind w:hanging="360" w:left="5247"/>
      </w:pPr>
      <w:rPr>
        <w:rFonts w:ascii="Symbol" w:hAnsi="Symbol"/>
      </w:rPr>
    </w:lvl>
    <w:lvl w:ilvl="7" w:tplc="21E34E69">
      <w:start w:val="1"/>
      <w:numFmt w:val="bullet"/>
      <w:suff w:val="tab"/>
      <w:lvlText w:val="o"/>
      <w:lvlJc w:val="left"/>
      <w:pPr>
        <w:ind w:hanging="360" w:left="5967"/>
      </w:pPr>
      <w:rPr>
        <w:rFonts w:ascii="Courier New" w:hAnsi="Courier New"/>
      </w:rPr>
    </w:lvl>
    <w:lvl w:ilvl="8" w:tplc="293003CF">
      <w:start w:val="1"/>
      <w:numFmt w:val="bullet"/>
      <w:suff w:val="tab"/>
      <w:lvlText w:val=""/>
      <w:lvlJc w:val="left"/>
      <w:pPr>
        <w:ind w:hanging="360" w:left="6687"/>
      </w:pPr>
      <w:rPr>
        <w:rFonts w:ascii="Wingdings" w:hAnsi="Wingdings"/>
      </w:rPr>
    </w:lvl>
  </w:abstractNum>
  <w:abstractNum w:abstractNumId="2">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4">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5">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6">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7">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8">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num w:numId="1">
    <w:abstractNumId w:val="5"/>
  </w:num>
  <w:num w:numId="2">
    <w:abstractNumId w:val="3"/>
  </w:num>
  <w:num w:numId="3">
    <w:abstractNumId w:val="4"/>
  </w:num>
  <w:num w:numId="4">
    <w:abstractNumId w:val="7"/>
  </w:num>
  <w:num w:numId="5">
    <w:abstractNumId w:val="8"/>
  </w:num>
  <w:num w:numId="6">
    <w:abstractNumId w:val="2"/>
  </w:num>
  <w:num w:numId="7">
    <w:abstractNumId w:val="6"/>
  </w:num>
  <w:num w:numId="8">
    <w:abstractNumId w:val="0"/>
  </w:num>
  <w:num w:numId="9">
    <w:abstractNumId w:val="1"/>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pPr>
      <w:tabs>
        <w:tab w:val="center" w:pos="4252" w:leader="none"/>
        <w:tab w:val="right" w:pos="8504" w:leader="none"/>
      </w:tabs>
    </w:pPr>
    <w:rPr/>
  </w:style>
  <w:style w:type="paragraph" w:styleId="P16">
    <w:name w:val="Texto independiente 2"/>
    <w:basedOn w:val="P0"/>
    <w:next w:val="P16"/>
    <w:link w:val="C7"/>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8"/>
    <w:pPr/>
    <w:rPr>
      <w:rFonts w:ascii="Tahoma" w:hAnsi="Tahoma"/>
      <w:sz w:val="16"/>
    </w:rPr>
  </w:style>
  <w:style w:type="paragraph" w:styleId="P28">
    <w:name w:val="Texto independiente primera sangría"/>
    <w:basedOn w:val="P11"/>
    <w:next w:val="P28"/>
    <w:link w:val="C9"/>
    <w:pPr>
      <w:spacing w:after="120"/>
      <w:ind w:firstLine="210"/>
      <w:jc w:val="left"/>
    </w:pPr>
    <w:rPr>
      <w:rFonts w:ascii="Times New Roman" w:hAnsi="Times New Roman"/>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basedOn w:val="C3"/>
    <w:qFormat/>
    <w:rPr>
      <w:b w:val="1"/>
    </w:rPr>
  </w:style>
  <w:style w:type="character" w:styleId="C5">
    <w:name w:val="Texto independiente Car"/>
    <w:basedOn w:val="C3"/>
    <w:link w:val="P11"/>
    <w:rPr>
      <w:rFonts w:ascii="Courier New" w:hAnsi="Courier New"/>
    </w:rPr>
  </w:style>
  <w:style w:type="character" w:styleId="C6">
    <w:name w:val="Hipervínculo"/>
    <w:basedOn w:val="C3"/>
    <w:rPr>
      <w:color w:val="0000FF"/>
      <w:u w:val="single"/>
    </w:rPr>
  </w:style>
  <w:style w:type="character" w:styleId="C7">
    <w:name w:val="Texto independiente 2 Car"/>
    <w:basedOn w:val="C3"/>
    <w:link w:val="P16"/>
    <w:rPr>
      <w:rFonts w:ascii="Arial" w:hAnsi="Arial"/>
      <w:b w:val="1"/>
      <w:sz w:val="28"/>
    </w:rPr>
  </w:style>
  <w:style w:type="character" w:styleId="C8">
    <w:name w:val="Texto de globo Car"/>
    <w:basedOn w:val="C3"/>
    <w:link w:val="P27"/>
    <w:rPr>
      <w:rFonts w:ascii="Tahoma" w:hAnsi="Tahoma"/>
      <w:sz w:val="16"/>
    </w:rPr>
  </w:style>
  <w:style w:type="character" w:styleId="C9">
    <w:name w:val="Texto independiente primera sangría Car"/>
    <w:basedOn w:val="C5"/>
    <w:link w:val="P28"/>
    <w:rPr>
      <w:rFonts w:ascii="Times New Roman" w:hAnsi="Times New Roman"/>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2010-05-17T13:06:00Z</dcterms:created>
  <cp:lastModifiedBy>Ethan Puglia</cp:lastModifiedBy>
  <cp:lastPrinted>2010-05-14T12:30:00Z</cp:lastPrinted>
  <dcterms:modified xsi:type="dcterms:W3CDTF">2019-03-28T17:34:21Z</dcterms:modified>
  <cp:revision>4</cp:revision>
  <dc:title>PROYECTO DE ORDENANZA VIOLENCIA FAMILIAR</dc:title>
</cp:coreProperties>
</file>