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4707CF" Type="http://schemas.openxmlformats.org/officeDocument/2006/relationships/officeDocument" Target="/word/document.xml" /><Relationship Id="coreR6F4707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8639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217/I/09 iniciado con nota de la Sra. Fátima Liliana Quintana y el Sr. José Daniel Chavero;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567"/>
      </w:pPr>
      <w:r>
        <w:t>Que solicitan eximición de deuda de Tasa por Servicios a la Propiedad del inmueble Designación Catastral 03-01-115-013 Cta. Nº 00025665;</w:t>
      </w:r>
    </w:p>
    <w:p>
      <w:pPr>
        <w:pStyle w:val="P11"/>
        <w:ind w:left="567"/>
      </w:pPr>
    </w:p>
    <w:p>
      <w:pPr>
        <w:pStyle w:val="P11"/>
        <w:ind w:left="567"/>
      </w:pPr>
      <w:r>
        <w:t>Que son propietarios del inmueble con boleto de compraventa;</w:t>
      </w:r>
    </w:p>
    <w:p>
      <w:pPr>
        <w:pStyle w:val="P11"/>
        <w:ind w:left="567"/>
      </w:pPr>
    </w:p>
    <w:p>
      <w:pPr>
        <w:pStyle w:val="P11"/>
        <w:ind w:left="567"/>
      </w:pPr>
      <w:r>
        <w:t xml:space="preserve">Que el Relevamiento Socioeconómico y Ambiental realizado indica que los ingresos del grupo familiar son insuficientes para cubrir sus necesidades básicas;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19 de Mayo de 2010.-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EXIMIR en un CIEN POR CIENTO (100%) la deuda que a la fecha de promulgación de la presente, mantiene el inmueble Designación Catastral 03-01-115-013 – Cuenta 00025665 y dar de baja al plan oportunamente suscripto.-</w:t>
      </w:r>
    </w:p>
    <w:p>
      <w:pPr>
        <w:pStyle w:val="P22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a partir de la promulgación de la presente y por el término de UN (1) año de PESOS DIEZ ($10,00) de Tasa por Servicio a la Propiedad al inmueble mencionado, al cabo de un año realizar nuevo Relevamiento Socioeconómico y de mantenerse la situación extender el beneficio por un año más.-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DIECINUEVE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6C70CAD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339738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C9A2C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7B5D0C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9DA4E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B55DF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CACC52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FA220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64620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2010-05-20T14:44:00Z</dcterms:created>
  <cp:lastModifiedBy>Ethan Puglia</cp:lastModifiedBy>
  <cp:lastPrinted>2010-05-20T14:41:00Z</cp:lastPrinted>
  <dcterms:modified xsi:type="dcterms:W3CDTF">2019-03-28T17:34:21Z</dcterms:modified>
  <cp:revision>5</cp:revision>
  <dc:title>PROYECTO DE ORDENANZA VIOLENCIA FAMILIAR</dc:title>
</cp:coreProperties>
</file>