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9D7EB8" Type="http://schemas.openxmlformats.org/officeDocument/2006/relationships/officeDocument" Target="/word/document.xml" /><Relationship Id="coreR7F9D7EB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858/08 iniciado por el Sr. Miguel Ángel Del Vecchio;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7"/>
      </w:pPr>
    </w:p>
    <w:p>
      <w:pPr>
        <w:pStyle w:val="P11"/>
        <w:ind w:left="567"/>
      </w:pPr>
      <w:r>
        <w:t>Que solicita eximición de deuda de Tasa por Servicios a la Propiedad correspondiente al inmueble Designación Catastral 04-02-178-012 y de Tasa por Servicios de Administración y Mantenimiento de los Cementerios por las Identificaciones 003857 y 003861;</w:t>
      </w:r>
    </w:p>
    <w:p>
      <w:pPr>
        <w:pStyle w:val="P11"/>
        <w:ind w:hanging="567" w:left="567"/>
      </w:pPr>
    </w:p>
    <w:p>
      <w:pPr>
        <w:pStyle w:val="P11"/>
        <w:ind w:left="567"/>
      </w:pPr>
      <w:r>
        <w:t>Que el Relevamiento Socioeconómico y Ambiental realizado indica que es un hogar con ingresos monetarios no suficientes para cubrir la canasta básica total, ya que perciben ingresos de pensión y padecen problemas de salud;</w:t>
      </w:r>
    </w:p>
    <w:p>
      <w:pPr>
        <w:pStyle w:val="P11"/>
        <w:ind w:left="567"/>
      </w:pPr>
      <w:r>
        <w:t xml:space="preserve">       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26 de Mayo de 2010.-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la deuda que en concepto de Tasa por Servicio a la Propiedad mantiene el inmueble Designación Catastral 04-02-178-012 Identificación 00005077 a la fecha de promulgación de la presente.-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en un CIEN POR CIENTO (100%) la deuda que en concepto de Tasa por Servicio de Administración y Mantenimiento de los Cementerios mantiene la Identificación 003857, a la fecha de promulgación de la presente.-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dejar sin efecto los juicios iniciados y honorarios generados.-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VEINTISEIS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605EE92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555098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53506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E367C0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37E4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16ED6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503A22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51B88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B4EA39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2010-05-28T11:28:00Z</dcterms:created>
  <cp:lastModifiedBy>Ethan Puglia</cp:lastModifiedBy>
  <cp:lastPrinted>2010-05-28T10:55:00Z</cp:lastPrinted>
  <dcterms:modified xsi:type="dcterms:W3CDTF">2019-03-28T17:34:21Z</dcterms:modified>
  <cp:revision>6</cp:revision>
  <dc:title>PROYECTO DE ORDENANZA VIOLENCIA FAMILIAR</dc:title>
</cp:coreProperties>
</file>