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F5D395C" Type="http://schemas.openxmlformats.org/officeDocument/2006/relationships/officeDocument" Target="/word/document.xml" /><Relationship Id="coreR2F5D395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rPr>
          <w:rStyle w:val="C3"/>
        </w:rPr>
      </w:pPr>
    </w:p>
    <w:p>
      <w:pPr>
        <w:pStyle w:val="P4"/>
      </w:pPr>
      <w:r>
        <w:t>ORDENANZA Nº 8645</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 135/I/10; y</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Pr>
        <w:pStyle w:val="P12"/>
        <w:ind w:left="567"/>
      </w:pPr>
    </w:p>
    <w:p>
      <w:pPr>
        <w:ind w:left="567"/>
        <w:jc w:val="both"/>
        <w:rPr>
          <w:rStyle w:val="C3"/>
          <w:rFonts w:ascii="Courier New" w:hAnsi="Courier New"/>
        </w:rPr>
      </w:pPr>
      <w:r>
        <w:rPr>
          <w:rStyle w:val="C3"/>
          <w:rFonts w:ascii="Courier New" w:hAnsi="Courier New"/>
        </w:rPr>
        <w:t>Que a través del mencionado expediente el Sr. Luis Sarmiento, manifiesta su interés de adquirir lotes en el Parque Municipal de Microemprendimientos, a fin de contar con un asentamiento permanente y sede operativa de las Empresas Sarmiento S.R.L. y la Serranita S.R.L.;</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dichas Empresas prestan el servicio de transporte público de pasajeros en el ámbito de nuestra jurisdicción, uniendo a localidades vecinas y generando fuentes de trabajo para habitantes de nuestro Municipio;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la ubicación  de estas Empresas dentro de la ciudad ha generado molestias, propias de la actividad a nuestros vecinos, por lo que se hace necesario su reubicación en forma definitiva en áreas que no ocasionen molestias a los ciudadanos;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se han requerido  tasaciones a Corredores Públicos a fin de determinar el valor de los referidos inmuebles;</w:t>
      </w:r>
    </w:p>
    <w:p>
      <w:pPr>
        <w:ind w:left="709"/>
        <w:jc w:val="both"/>
        <w:rPr>
          <w:rStyle w:val="C3"/>
          <w:rFonts w:ascii="Courier New" w:hAnsi="Courier New"/>
        </w:rPr>
      </w:pP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709"/>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conforme lo previsto en el Art.79º inc.10 de nuestra Carta Orgánica Municipal, es atribución exclusiva del Honorable Concejo Deliberante autorizar al Departamento Ejecutivo a enajenar los bienes del Dominio Privado Municipal; </w:t>
      </w:r>
    </w:p>
    <w:p>
      <w:pPr>
        <w:pStyle w:val="P11"/>
        <w:ind w:left="567"/>
      </w:pPr>
      <w:r>
        <w:t xml:space="preserve">          </w:t>
      </w:r>
    </w:p>
    <w:p>
      <w:pPr>
        <w:ind w:left="567"/>
        <w:jc w:val="both"/>
        <w:rPr>
          <w:rStyle w:val="C3"/>
          <w:rFonts w:ascii="Courier New" w:hAnsi="Courier New"/>
        </w:rPr>
      </w:pPr>
      <w:r>
        <w:rPr>
          <w:rStyle w:val="C3"/>
          <w:rFonts w:ascii="Courier New" w:hAnsi="Courier New"/>
        </w:rPr>
        <w:t xml:space="preserve">Que analizado Proyecto de Ordenanza por el Concejo en  Comisión, se resuelve por Mayoría su aprobación en Sesión Ordinaria del día 26 de Mayo de 2010.-</w:t>
      </w:r>
    </w:p>
    <w:p>
      <w:pPr>
        <w:ind w:left="567"/>
        <w:jc w:val="both"/>
        <w:rPr>
          <w:rStyle w:val="C3"/>
          <w:rFonts w:ascii="Courier New" w:hAnsi="Courier New"/>
        </w:rPr>
      </w:pPr>
    </w:p>
    <w:p>
      <w:pPr>
        <w:jc w:val="right"/>
        <w:rPr>
          <w:rStyle w:val="C3"/>
          <w:rFonts w:ascii="Courier New" w:hAnsi="Courier New"/>
        </w:rPr>
      </w:pPr>
    </w:p>
    <w:p>
      <w:pPr>
        <w:jc w:val="right"/>
        <w:rPr>
          <w:rStyle w:val="C3"/>
          <w:rFonts w:ascii="Courier New" w:hAnsi="Courier New"/>
        </w:rPr>
      </w:pPr>
      <w:r>
        <w:rPr>
          <w:rStyle w:val="C3"/>
          <w:rFonts w:ascii="Courier New" w:hAnsi="Courier New"/>
        </w:rPr>
        <w:tab/>
      </w: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rPr>
          <w:rStyle w:val="C3"/>
          <w:rFonts w:ascii="Courier New" w:hAnsi="Courier New"/>
        </w:rPr>
      </w:pPr>
    </w:p>
    <w:p>
      <w:pPr>
        <w:jc w:val="center"/>
        <w:rPr>
          <w:rStyle w:val="C3"/>
          <w:rFonts w:ascii="Courier New" w:hAnsi="Courier New"/>
          <w:b w:val="1"/>
        </w:rPr>
      </w:pPr>
    </w:p>
    <w:p>
      <w:pPr>
        <w:ind w:hanging="360" w:left="360"/>
        <w:jc w:val="both"/>
        <w:rPr>
          <w:rStyle w:val="C3"/>
          <w:rFonts w:ascii="Courier New" w:hAnsi="Courier New"/>
          <w:b w:val="1"/>
          <w:u w:val="single"/>
        </w:rPr>
      </w:pPr>
    </w:p>
    <w:p>
      <w:pPr>
        <w:pStyle w:val="P22"/>
        <w:contextualSpacing w:val="1"/>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al Departamento Ejecutivo a celebrar Convenio de Compraventa con  el Sr. Luis Sarmiento, M.I.20.081.321, en relación a los lotes descriptos como “13”, “14” y “15” ubicados en la zona de  Parque  para Radicación de Industrias y Microemprendimientos, sobre Ruta N° 5, para la instalación de un asentamiento permanente y sede operativa de las Empresas Sarmiento S.R.L y La Serranita S.R.L.-</w:t>
      </w:r>
    </w:p>
    <w:p>
      <w:pPr>
        <w:pStyle w:val="P22"/>
        <w:contextualSpacing w:val="1"/>
        <w:jc w:val="both"/>
        <w:rPr>
          <w:rStyle w:val="C3"/>
          <w:rFonts w:ascii="Courier New" w:hAnsi="Courier New"/>
        </w:rPr>
      </w:pPr>
    </w:p>
    <w:p>
      <w:pPr>
        <w:pStyle w:val="P22"/>
        <w:contextualSpacing w:val="1"/>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presente Ordenanza entrará en vigencia a partir de su fecha promulgación.-</w:t>
      </w:r>
    </w:p>
    <w:p>
      <w:pPr>
        <w:pStyle w:val="P22"/>
        <w:contextualSpacing w:val="1"/>
        <w:jc w:val="both"/>
        <w:rPr>
          <w:rStyle w:val="C3"/>
          <w:rFonts w:ascii="Courier New" w:hAnsi="Courier New"/>
        </w:rPr>
      </w:pPr>
    </w:p>
    <w:p>
      <w:pPr>
        <w:pStyle w:val="P22"/>
        <w:contextualSpacing w:val="1"/>
        <w:jc w:val="right"/>
        <w:rPr>
          <w:rStyle w:val="C3"/>
          <w:rFonts w:ascii="Courier New" w:hAnsi="Courier New"/>
        </w:rPr>
      </w:pPr>
    </w:p>
    <w:p>
      <w:pPr>
        <w:pStyle w:val="P22"/>
        <w:contextualSpacing w:val="1"/>
        <w:jc w:val="right"/>
        <w:rPr>
          <w:rStyle w:val="C3"/>
          <w:rFonts w:ascii="Courier New" w:hAnsi="Courier New"/>
        </w:rPr>
      </w:pPr>
      <w:r>
        <w:rPr>
          <w:rStyle w:val="C3"/>
          <w:rFonts w:ascii="Courier New" w:hAnsi="Courier New"/>
        </w:rPr>
        <w:t>...///</w:t>
      </w:r>
    </w:p>
    <w:p>
      <w:pPr>
        <w:pStyle w:val="P22"/>
        <w:contextualSpacing w:val="1"/>
        <w:jc w:val="both"/>
        <w:rPr>
          <w:rStyle w:val="C3"/>
          <w:rFonts w:ascii="Courier New" w:hAnsi="Courier New"/>
        </w:rPr>
      </w:pPr>
    </w:p>
    <w:p>
      <w:pPr>
        <w:pStyle w:val="P22"/>
        <w:contextualSpacing w:val="1"/>
        <w:jc w:val="both"/>
        <w:rPr>
          <w:rStyle w:val="C3"/>
          <w:rFonts w:ascii="Courier New" w:hAnsi="Courier New"/>
        </w:rPr>
      </w:pPr>
    </w:p>
    <w:p>
      <w:pPr>
        <w:pStyle w:val="P22"/>
        <w:contextualSpacing w:val="1"/>
        <w:jc w:val="both"/>
        <w:rPr>
          <w:rStyle w:val="C3"/>
          <w:rFonts w:ascii="Courier New" w:hAnsi="Courier New"/>
        </w:rPr>
      </w:pPr>
    </w:p>
    <w:p>
      <w:pPr>
        <w:pStyle w:val="P22"/>
        <w:contextualSpacing w:val="1"/>
        <w:jc w:val="both"/>
        <w:rPr>
          <w:rStyle w:val="C3"/>
          <w:rFonts w:ascii="Courier New" w:hAnsi="Courier New"/>
        </w:rPr>
      </w:pPr>
    </w:p>
    <w:p>
      <w:pPr>
        <w:pStyle w:val="P22"/>
        <w:contextualSpacing w:val="1"/>
        <w:jc w:val="both"/>
        <w:rPr>
          <w:rStyle w:val="C3"/>
          <w:rFonts w:ascii="Courier New" w:hAnsi="Courier New"/>
        </w:rPr>
      </w:pPr>
    </w:p>
    <w:p>
      <w:pPr>
        <w:pStyle w:val="P22"/>
        <w:contextualSpacing w:val="1"/>
        <w:jc w:val="both"/>
        <w:rPr>
          <w:rStyle w:val="C3"/>
          <w:rFonts w:ascii="Courier New" w:hAnsi="Courier New"/>
        </w:rPr>
      </w:pPr>
    </w:p>
    <w:p>
      <w:pPr>
        <w:pStyle w:val="P22"/>
        <w:contextualSpacing w:val="1"/>
        <w:jc w:val="both"/>
        <w:rPr>
          <w:rStyle w:val="C3"/>
          <w:rFonts w:ascii="Courier New" w:hAnsi="Courier New"/>
        </w:rPr>
      </w:pPr>
    </w:p>
    <w:p>
      <w:pPr>
        <w:pStyle w:val="P22"/>
        <w:contextualSpacing w:val="1"/>
        <w:jc w:val="both"/>
        <w:rPr>
          <w:rStyle w:val="C3"/>
          <w:rFonts w:ascii="Courier New" w:hAnsi="Courier New"/>
        </w:rPr>
      </w:pPr>
    </w:p>
    <w:p>
      <w:pPr>
        <w:pStyle w:val="P22"/>
        <w:contextualSpacing w:val="1"/>
        <w:jc w:val="both"/>
        <w:rPr>
          <w:rStyle w:val="C3"/>
          <w:rFonts w:ascii="Courier New" w:hAnsi="Courier New"/>
        </w:rPr>
      </w:pPr>
    </w:p>
    <w:p>
      <w:pPr>
        <w:pStyle w:val="P22"/>
        <w:contextualSpacing w:val="1"/>
        <w:jc w:val="both"/>
        <w:rPr>
          <w:rStyle w:val="C3"/>
          <w:rFonts w:ascii="Courier New" w:hAnsi="Courier New"/>
        </w:rPr>
      </w:pPr>
    </w:p>
    <w:p>
      <w:pPr>
        <w:pStyle w:val="P22"/>
        <w:contextualSpacing w:val="1"/>
        <w:jc w:val="both"/>
        <w:rPr>
          <w:rStyle w:val="C3"/>
          <w:rFonts w:ascii="Courier New" w:hAnsi="Courier New"/>
        </w:rPr>
      </w:pPr>
    </w:p>
    <w:p>
      <w:pPr>
        <w:pStyle w:val="P22"/>
        <w:contextualSpacing w:val="1"/>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pStyle w:val="P22"/>
        <w:contextualSpacing w:val="1"/>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VEINTISEIS DÍAS DEL MES DE MAYO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center"/>
        <w:rPr>
          <w:rStyle w:val="C3"/>
          <w:rFonts w:ascii="Courier New" w:hAnsi="Courier New"/>
          <w:b w:val="1"/>
          <w:sz w:val="144"/>
        </w:rPr>
      </w:pPr>
    </w:p>
    <w:p>
      <w:pPr>
        <w:ind w:hanging="360" w:left="360"/>
        <w:jc w:val="center"/>
        <w:rPr>
          <w:rStyle w:val="C3"/>
          <w:rFonts w:ascii="Courier New" w:hAnsi="Courier New"/>
          <w:b w:val="1"/>
          <w:sz w:val="144"/>
        </w:rPr>
      </w:pPr>
    </w:p>
    <w:p>
      <w:pPr>
        <w:ind w:hanging="360" w:left="360"/>
        <w:jc w:val="center"/>
        <w:rPr>
          <w:rStyle w:val="C3"/>
          <w:rFonts w:ascii="Courier New" w:hAnsi="Courier New"/>
          <w:b w:val="1"/>
          <w:sz w:val="144"/>
        </w:rPr>
      </w:pPr>
      <w:r>
        <w:rPr>
          <w:rStyle w:val="C3"/>
          <w:rFonts w:ascii="Courier New" w:hAnsi="Courier New"/>
          <w:b w:val="1"/>
          <w:sz w:val="144"/>
        </w:rPr>
        <w:t>ANEXO</w:t>
      </w:r>
    </w:p>
    <w:p>
      <w:pPr>
        <w:ind w:hanging="360" w:left="360"/>
        <w:jc w:val="center"/>
        <w:rPr>
          <w:rStyle w:val="C3"/>
          <w:rFonts w:ascii="Courier New" w:hAnsi="Courier New"/>
          <w:b w:val="1"/>
          <w:sz w:val="144"/>
        </w:rPr>
      </w:pPr>
    </w:p>
    <w:p>
      <w:pPr>
        <w:ind w:hanging="360" w:left="360"/>
        <w:jc w:val="center"/>
        <w:rPr>
          <w:rStyle w:val="C3"/>
          <w:rFonts w:ascii="Courier New" w:hAnsi="Courier New"/>
        </w:rPr>
      </w:pPr>
    </w:p>
    <w:p>
      <w:pPr>
        <w:ind w:hanging="360" w:left="360"/>
        <w:jc w:val="center"/>
        <w:rPr>
          <w:rStyle w:val="C3"/>
          <w:rFonts w:ascii="Courier New" w:hAnsi="Courier New"/>
        </w:rPr>
      </w:pPr>
    </w:p>
    <w:p>
      <w:pPr>
        <w:ind w:hanging="360" w:left="360"/>
        <w:jc w:val="center"/>
        <w:rPr>
          <w:rStyle w:val="C3"/>
          <w:rFonts w:ascii="Courier New" w:hAnsi="Courier New"/>
        </w:rPr>
      </w:pPr>
    </w:p>
    <w:p>
      <w:pPr>
        <w:ind w:hanging="360" w:left="360"/>
        <w:jc w:val="center"/>
        <w:rPr>
          <w:rStyle w:val="C3"/>
          <w:rFonts w:ascii="Courier New" w:hAnsi="Courier New"/>
        </w:rPr>
      </w:pPr>
    </w:p>
    <w:p>
      <w:pPr>
        <w:ind w:hanging="360" w:left="360"/>
        <w:jc w:val="center"/>
        <w:rPr>
          <w:rStyle w:val="C3"/>
          <w:rFonts w:ascii="Courier New" w:hAnsi="Courier New"/>
        </w:rPr>
      </w:pPr>
    </w:p>
    <w:p>
      <w:pPr>
        <w:ind w:hanging="360" w:left="360"/>
        <w:jc w:val="center"/>
        <w:rPr>
          <w:rStyle w:val="C3"/>
          <w:rFonts w:ascii="Courier New" w:hAnsi="Courier New"/>
        </w:rPr>
      </w:pPr>
    </w:p>
    <w:p>
      <w:pPr>
        <w:ind w:hanging="360" w:left="360"/>
        <w:jc w:val="center"/>
        <w:rPr>
          <w:rStyle w:val="C3"/>
          <w:rFonts w:ascii="Courier New" w:hAnsi="Courier New"/>
        </w:rPr>
      </w:pPr>
    </w:p>
    <w:p>
      <w:pPr>
        <w:ind w:hanging="360" w:left="360"/>
        <w:jc w:val="center"/>
        <w:rPr>
          <w:rStyle w:val="C3"/>
          <w:rFonts w:ascii="Courier New" w:hAnsi="Courier New"/>
        </w:rPr>
      </w:pPr>
    </w:p>
    <w:p>
      <w:pPr>
        <w:ind w:hanging="360" w:left="360"/>
        <w:jc w:val="center"/>
        <w:rPr>
          <w:rStyle w:val="C3"/>
          <w:rFonts w:ascii="Courier New" w:hAnsi="Courier New"/>
        </w:rPr>
      </w:pPr>
    </w:p>
    <w:p>
      <w:pPr>
        <w:ind w:hanging="360" w:left="360"/>
        <w:jc w:val="center"/>
        <w:rPr>
          <w:rStyle w:val="C3"/>
          <w:rFonts w:ascii="Courier New" w:hAnsi="Courier New"/>
        </w:rPr>
      </w:pPr>
    </w:p>
    <w:p>
      <w:pPr>
        <w:ind w:hanging="360" w:left="360"/>
        <w:jc w:val="right"/>
        <w:rPr>
          <w:rStyle w:val="C3"/>
          <w:rFonts w:ascii="Courier New" w:hAnsi="Courier New"/>
        </w:rPr>
      </w:pPr>
      <w:r>
        <w:rPr>
          <w:rStyle w:val="C3"/>
          <w:rFonts w:ascii="Courier New" w:hAnsi="Courier New"/>
        </w:rP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jc w:val="center"/>
        <w:rPr>
          <w:rStyle w:val="C3"/>
          <w:rFonts w:ascii="JaneAusten" w:hAnsi="JaneAusten"/>
          <w:b w:val="1"/>
          <w:sz w:val="24"/>
        </w:rPr>
      </w:pPr>
    </w:p>
    <w:p>
      <w:pPr>
        <w:pStyle w:val="P16"/>
        <w:ind w:left="113"/>
        <w:rPr>
          <w:rStyle w:val="C3"/>
          <w:rFonts w:ascii="Courier New" w:hAnsi="Courier New"/>
          <w:b w:val="1"/>
          <w:sz w:val="24"/>
        </w:rPr>
      </w:pPr>
      <w:r>
        <w:rPr>
          <w:rStyle w:val="C3"/>
          <w:rFonts w:ascii="Courier New" w:hAnsi="Courier New"/>
          <w:b w:val="0"/>
          <w:sz w:val="24"/>
        </w:rPr>
        <w:t>...///5.-</w:t>
      </w:r>
    </w:p>
    <w:p>
      <w:pPr>
        <w:pStyle w:val="P20"/>
        <w:ind w:left="709"/>
        <w:jc w:val="center"/>
        <w:rPr>
          <w:rStyle w:val="C3"/>
          <w:b w:val="1"/>
          <w:sz w:val="28"/>
          <w:u w:val="single"/>
        </w:rPr>
      </w:pPr>
      <w:r>
        <w:rPr>
          <w:rStyle w:val="C3"/>
          <w:b w:val="1"/>
          <w:sz w:val="28"/>
          <w:u w:val="single"/>
        </w:rPr>
        <w:t>CONVENIO DE COMPRAVENTA</w:t>
      </w:r>
    </w:p>
    <w:p>
      <w:pPr>
        <w:pStyle w:val="P20"/>
        <w:ind w:left="709"/>
        <w:jc w:val="both"/>
        <w:rPr>
          <w:rStyle w:val="C3"/>
          <w:sz w:val="28"/>
        </w:rPr>
      </w:pPr>
    </w:p>
    <w:p>
      <w:pPr>
        <w:pStyle w:val="P20"/>
        <w:jc w:val="both"/>
        <w:rPr>
          <w:rStyle w:val="C3"/>
          <w:b w:val="1"/>
          <w:sz w:val="22"/>
          <w:u w:val="single"/>
        </w:rPr>
      </w:pPr>
      <w:r>
        <w:rPr>
          <w:rStyle w:val="C3"/>
          <w:sz w:val="22"/>
        </w:rPr>
        <w:t>Entre la Municipalidad de Alta Gracia representada en este acto por el Intendente Municipal, Lic. MARIO ALBERTO R. BONFIGLI, D.N.I. N°13.384.609, con domicilio especial en Av. Belgrano N° 15 de la ciudad de Alta Gracia, en adelante “EL VENDEDOR” por una parte y por la otra, al Sr. Luis Sarmiento, DNI Nº20.081.321, con domicilio en Av. 11 de Septiembre Nº3050, de la Ciudad de Córdoba, en adelante “EL COMPRADOR” convienen en celebrar el presente CONVENIO DE COMPRAVENTA, cuya firma es ad - referéndum del Honorable Concejo Deliberante de acuerdo al Art. 79 inc.10 de la C.O.M. y sujeto a las siguientes cláusulas: ----</w:t>
      </w:r>
    </w:p>
    <w:p>
      <w:pPr>
        <w:pStyle w:val="P20"/>
        <w:jc w:val="both"/>
        <w:rPr>
          <w:rStyle w:val="C3"/>
          <w:sz w:val="22"/>
        </w:rPr>
      </w:pPr>
      <w:r>
        <w:rPr>
          <w:rStyle w:val="C3"/>
          <w:b w:val="1"/>
          <w:sz w:val="22"/>
          <w:u w:val="single"/>
        </w:rPr>
        <w:t>PRIMERA</w:t>
      </w:r>
      <w:r>
        <w:rPr>
          <w:rStyle w:val="C3"/>
          <w:sz w:val="22"/>
        </w:rPr>
        <w:t xml:space="preserve">: EL VENDEDOR vende, cede y transfiere la propiedad y todos los derechos al COMPRADOR y éste acepta tres (3) Lotes descriptos como “13”; “14” y “15”, con una superficie total de 14925,30 mts. cuadrados, ubicado en la zona de Parque para Radicación de Industrias y Microemprendimientos, sobre Ruta Nº5 que forma parte de una fracción mayor de campo descripta como una superficie de terreno correspondiente al Plano U-348 y antecedentes del Expte Nº211/I/99 descripta en el Art. 2º de la Ordenanza Nº8279, como parcela designada 2133-3433 del plano de mensura y subdivisión del lote 3-1- frac. 8, y que se describe de la siguiente manera: partiendo desde el extremo Nor - Oeste, punto R y con un ángulo de noventa grados diez minutos con respecto al lado S-R. Una línea R-H de cuatrocientos setenta y nueve metros con cuarenta y seis centímetros (479.46) hacia el Este, hasta el punto H; desde este punto, con un ángulo de ochenta y nueve grados cero cinco minutos, un lado H-H de trescientos cuatro metros con cuarenta y un centímetros (304.41 m) hacia el Sur, hasta el punto H; desde este punto y con un ángulo de noventa grados cincuenta y seis minutos un lado H-T de ciento cuarenta y tres metros con setenta y tres centímetros (143.73) hacia el Oeste, hasta el punto T; desde este punto y con un ángulo de ciento cincuenta y tres grados cero minutos, un </w:t>
      </w:r>
    </w:p>
    <w:p>
      <w:pPr>
        <w:pStyle w:val="P20"/>
        <w:jc w:val="right"/>
        <w:rPr>
          <w:rStyle w:val="C3"/>
          <w:sz w:val="22"/>
        </w:rPr>
      </w:pPr>
      <w:r>
        <w:rPr>
          <w:rStyle w:val="C3"/>
          <w:sz w:val="22"/>
        </w:rPr>
        <w:t>...///</w:t>
      </w:r>
    </w:p>
    <w:p>
      <w:pPr>
        <w:pStyle w:val="P20"/>
        <w:jc w:val="both"/>
        <w:rPr>
          <w:rStyle w:val="C3"/>
          <w:sz w:val="22"/>
        </w:rPr>
      </w:pPr>
    </w:p>
    <w:p>
      <w:pPr>
        <w:pStyle w:val="P20"/>
        <w:jc w:val="both"/>
        <w:rPr>
          <w:rStyle w:val="C3"/>
          <w:sz w:val="22"/>
        </w:rPr>
      </w:pPr>
    </w:p>
    <w:p>
      <w:pPr>
        <w:pStyle w:val="P20"/>
        <w:jc w:val="both"/>
        <w:rPr>
          <w:rStyle w:val="C3"/>
          <w:sz w:val="22"/>
        </w:rPr>
      </w:pPr>
    </w:p>
    <w:p>
      <w:pPr>
        <w:pStyle w:val="P20"/>
        <w:jc w:val="both"/>
        <w:rPr>
          <w:rStyle w:val="C3"/>
          <w:sz w:val="22"/>
        </w:rPr>
      </w:pPr>
    </w:p>
    <w:p>
      <w:pPr>
        <w:pStyle w:val="P20"/>
        <w:jc w:val="both"/>
        <w:rPr>
          <w:rStyle w:val="C3"/>
          <w:sz w:val="22"/>
        </w:rPr>
      </w:pPr>
    </w:p>
    <w:p>
      <w:pPr>
        <w:pStyle w:val="P20"/>
        <w:jc w:val="both"/>
        <w:rPr>
          <w:rStyle w:val="C3"/>
          <w:sz w:val="22"/>
        </w:rPr>
      </w:pPr>
    </w:p>
    <w:p>
      <w:pPr>
        <w:pStyle w:val="P20"/>
        <w:jc w:val="both"/>
        <w:rPr>
          <w:rStyle w:val="C3"/>
          <w:sz w:val="22"/>
        </w:rPr>
      </w:pPr>
    </w:p>
    <w:p>
      <w:pPr>
        <w:pStyle w:val="P20"/>
        <w:jc w:val="both"/>
        <w:rPr>
          <w:rStyle w:val="C3"/>
          <w:sz w:val="22"/>
        </w:rPr>
      </w:pPr>
    </w:p>
    <w:p>
      <w:pPr>
        <w:pStyle w:val="P20"/>
        <w:jc w:val="both"/>
        <w:rPr>
          <w:rStyle w:val="C3"/>
          <w:sz w:val="22"/>
        </w:rPr>
      </w:pPr>
    </w:p>
    <w:p>
      <w:pPr>
        <w:pStyle w:val="P20"/>
        <w:jc w:val="both"/>
        <w:rPr>
          <w:rStyle w:val="C3"/>
          <w:sz w:val="22"/>
        </w:rPr>
      </w:pPr>
    </w:p>
    <w:p>
      <w:pPr>
        <w:pStyle w:val="P20"/>
        <w:jc w:val="both"/>
        <w:rPr>
          <w:rStyle w:val="C3"/>
          <w:sz w:val="22"/>
        </w:rPr>
      </w:pPr>
    </w:p>
    <w:p>
      <w:pPr>
        <w:pStyle w:val="P20"/>
        <w:jc w:val="both"/>
        <w:rPr>
          <w:rStyle w:val="C3"/>
          <w:sz w:val="22"/>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rPr>
          <w:rStyle w:val="C3"/>
          <w:rFonts w:ascii="Courier New" w:hAnsi="Courier New"/>
          <w:b w:val="1"/>
          <w:sz w:val="24"/>
        </w:rPr>
      </w:pPr>
      <w:r>
        <w:rPr>
          <w:rStyle w:val="C3"/>
          <w:rFonts w:ascii="Courier New" w:hAnsi="Courier New"/>
          <w:b w:val="0"/>
          <w:sz w:val="24"/>
        </w:rPr>
        <w:t>...///6.-</w:t>
      </w:r>
    </w:p>
    <w:p>
      <w:pPr>
        <w:pStyle w:val="P20"/>
        <w:jc w:val="both"/>
        <w:rPr>
          <w:rStyle w:val="C3"/>
          <w:sz w:val="22"/>
        </w:rPr>
      </w:pPr>
    </w:p>
    <w:p>
      <w:pPr>
        <w:pStyle w:val="P20"/>
        <w:jc w:val="both"/>
        <w:rPr>
          <w:rStyle w:val="C3"/>
          <w:sz w:val="22"/>
        </w:rPr>
      </w:pPr>
      <w:r>
        <w:rPr>
          <w:rStyle w:val="C3"/>
          <w:sz w:val="22"/>
        </w:rPr>
        <w:t>lado T-S de trescientos setenta y cuatro metros (374) hacia el Nor - Oeste, hasta el punto S; desde este punto, y con un ángulo de ciento diecisiete grados cincuenta minutos, un lado S-R de ciento treinta metros con treinta y un centímetros (130.31 m.) hacia el Norte, hasta el punto R, cerrando la figura con una superficie total de ciento dieciséis mil quinientos setenta metros con cincuenta y tres decímetros cuadrados (116.570,53 mts. 2), lindando: al Norte con la parcela 2133-3633 de Rosario Cafferata de Aghina (hoy sucesión), al Este con la Ruta Prov. Nº5, al Sur con más terreno de la parcela 2133-3433 de la Municipalidad de Alta Gracia y al Sur – Oeste y Oeste con la parcela 2133-3533 de la Municipalidad de Alta Gracia en concesión a la COSAG Ltda. (Laguna Sanitaria). Adjunto al presente convenio se agrega parcelario confeccionado por la Municipalidad de Alta Gracia, en el que consta el lote Nº6”A”, objeto del presente acuerdo, parcelario que firman las partes a sus efectos.----------------------------------------------------</w:t>
      </w:r>
    </w:p>
    <w:p>
      <w:pPr>
        <w:pStyle w:val="P20"/>
        <w:jc w:val="both"/>
        <w:rPr>
          <w:rStyle w:val="C3"/>
          <w:sz w:val="22"/>
        </w:rPr>
      </w:pPr>
      <w:r>
        <w:rPr>
          <w:rStyle w:val="C3"/>
          <w:b w:val="1"/>
          <w:sz w:val="22"/>
          <w:u w:val="single"/>
        </w:rPr>
        <w:t>SEGUNDA</w:t>
      </w:r>
      <w:r>
        <w:rPr>
          <w:rStyle w:val="C3"/>
          <w:sz w:val="22"/>
        </w:rPr>
        <w:t>: El precio pactado de la presente compraventa se fija en dólares cincuenta mil (u$s 50.000).-----------------------------</w:t>
      </w:r>
    </w:p>
    <w:p>
      <w:pPr>
        <w:pStyle w:val="P20"/>
        <w:jc w:val="both"/>
        <w:rPr>
          <w:rStyle w:val="C3"/>
          <w:sz w:val="22"/>
        </w:rPr>
      </w:pPr>
      <w:r>
        <w:rPr>
          <w:rStyle w:val="C3"/>
          <w:b w:val="1"/>
          <w:sz w:val="22"/>
          <w:u w:val="single"/>
        </w:rPr>
        <w:t>TERCERA</w:t>
      </w:r>
      <w:r>
        <w:rPr>
          <w:rStyle w:val="C3"/>
          <w:sz w:val="22"/>
        </w:rPr>
        <w:t xml:space="preserve">: El presente contrato de compraventa será plenamente           válido entre las partes, una vez obtenida la aprobación del Honorable Concejo Deliberante, comprometiéndose el VENDEDOR a la transferencia de dominio (escritura y registración) del inmueble objeto de esta compraventa, en el plazo perentorio de un (1) año, computado desde la firma del presente.---------------------</w:t>
      </w:r>
    </w:p>
    <w:p>
      <w:pPr>
        <w:pStyle w:val="P20"/>
        <w:jc w:val="both"/>
        <w:rPr>
          <w:rStyle w:val="C3"/>
          <w:sz w:val="22"/>
        </w:rPr>
      </w:pPr>
      <w:r>
        <w:rPr>
          <w:rStyle w:val="C3"/>
          <w:b w:val="1"/>
          <w:sz w:val="22"/>
          <w:u w:val="single"/>
        </w:rPr>
        <w:t>CUARTA</w:t>
      </w:r>
      <w:r>
        <w:rPr>
          <w:rStyle w:val="C3"/>
          <w:sz w:val="22"/>
        </w:rPr>
        <w:t xml:space="preserve">:  Las  partes  de  común  acuerdo establecen que el VENDEDOR vende al COMPRADOR tres lotes descriptos como “13”; “14” y “15”, con una superficie total de 14925,30 mts. cuadrados, ubicado en la zona de Parque para Radicación de Industrias y Microemprendimientos, sobre Ruta Nº5, por el precio de dólares cincuenta mil (u$s 50.000), a pagarse en cuatro (4) cuotas iguales, mensuales y consecutivas, siendo el pago de la primera el día de la toma de posesión.--------------------------</w:t>
      </w:r>
    </w:p>
    <w:p>
      <w:pPr>
        <w:jc w:val="both"/>
        <w:rPr>
          <w:rStyle w:val="C3"/>
          <w:rFonts w:ascii="Courier New" w:hAnsi="Courier New"/>
          <w:sz w:val="22"/>
        </w:rPr>
      </w:pPr>
      <w:r>
        <w:rPr>
          <w:rStyle w:val="C3"/>
          <w:rFonts w:ascii="Courier New" w:hAnsi="Courier New"/>
          <w:b w:val="1"/>
          <w:sz w:val="22"/>
          <w:u w:val="single"/>
        </w:rPr>
        <w:t>QUINTA</w:t>
      </w:r>
      <w:r>
        <w:rPr>
          <w:rStyle w:val="C3"/>
          <w:rFonts w:ascii="Courier New" w:hAnsi="Courier New"/>
          <w:sz w:val="22"/>
        </w:rPr>
        <w:t xml:space="preserve">: La superficie descripta y objeto de este convenio de    compraventa deberá ser exclusivamente destinada al asentamiento </w:t>
      </w:r>
    </w:p>
    <w:p>
      <w:pPr>
        <w:jc w:val="right"/>
        <w:rPr>
          <w:rStyle w:val="C3"/>
          <w:rFonts w:ascii="Courier New" w:hAnsi="Courier New"/>
          <w:sz w:val="22"/>
        </w:rPr>
      </w:pPr>
      <w:r>
        <w:rPr>
          <w:rStyle w:val="C3"/>
          <w:rFonts w:ascii="Courier New" w:hAnsi="Courier New"/>
          <w:sz w:val="22"/>
        </w:rPr>
        <w:t>...///</w:t>
      </w:r>
    </w:p>
    <w:p>
      <w:pPr>
        <w:jc w:val="both"/>
        <w:rPr>
          <w:rStyle w:val="C3"/>
          <w:rFonts w:ascii="Courier New" w:hAnsi="Courier New"/>
          <w:sz w:val="22"/>
        </w:rPr>
      </w:pPr>
    </w:p>
    <w:p>
      <w:pPr>
        <w:jc w:val="both"/>
        <w:rPr>
          <w:rStyle w:val="C3"/>
          <w:rFonts w:ascii="Courier New" w:hAnsi="Courier New"/>
          <w:sz w:val="22"/>
        </w:rPr>
      </w:pPr>
    </w:p>
    <w:p>
      <w:pPr>
        <w:jc w:val="both"/>
        <w:rPr>
          <w:rStyle w:val="C3"/>
          <w:rFonts w:ascii="Courier New" w:hAnsi="Courier New"/>
          <w:sz w:val="22"/>
        </w:rPr>
      </w:pPr>
    </w:p>
    <w:p>
      <w:pPr>
        <w:jc w:val="both"/>
        <w:rPr>
          <w:rStyle w:val="C3"/>
          <w:rFonts w:ascii="Courier New" w:hAnsi="Courier New"/>
          <w:sz w:val="22"/>
        </w:rPr>
      </w:pPr>
    </w:p>
    <w:p>
      <w:pPr>
        <w:jc w:val="both"/>
        <w:rPr>
          <w:rStyle w:val="C3"/>
          <w:rFonts w:ascii="Courier New" w:hAnsi="Courier New"/>
          <w:sz w:val="22"/>
        </w:rPr>
      </w:pPr>
    </w:p>
    <w:p>
      <w:pPr>
        <w:jc w:val="both"/>
        <w:rPr>
          <w:rStyle w:val="C3"/>
          <w:rFonts w:ascii="Courier New" w:hAnsi="Courier New"/>
          <w:sz w:val="22"/>
        </w:rPr>
      </w:pPr>
    </w:p>
    <w:p>
      <w:pPr>
        <w:jc w:val="both"/>
        <w:rPr>
          <w:rStyle w:val="C3"/>
          <w:rFonts w:ascii="Courier New" w:hAnsi="Courier New"/>
          <w:sz w:val="22"/>
        </w:rPr>
      </w:pPr>
    </w:p>
    <w:p>
      <w:pPr>
        <w:jc w:val="both"/>
        <w:rPr>
          <w:rStyle w:val="C3"/>
          <w:rFonts w:ascii="Courier New" w:hAnsi="Courier New"/>
          <w:sz w:val="22"/>
        </w:rPr>
      </w:pPr>
    </w:p>
    <w:p>
      <w:pPr>
        <w:jc w:val="both"/>
        <w:rPr>
          <w:rStyle w:val="C3"/>
          <w:rFonts w:ascii="Courier New" w:hAnsi="Courier New"/>
          <w:sz w:val="22"/>
        </w:rPr>
      </w:pPr>
    </w:p>
    <w:p>
      <w:pPr>
        <w:jc w:val="both"/>
        <w:rPr>
          <w:rStyle w:val="C3"/>
          <w:rFonts w:ascii="Courier New" w:hAnsi="Courier New"/>
          <w:sz w:val="22"/>
        </w:rPr>
      </w:pPr>
    </w:p>
    <w:p>
      <w:pPr>
        <w:jc w:val="both"/>
        <w:rPr>
          <w:rStyle w:val="C3"/>
          <w:rFonts w:ascii="Courier New" w:hAnsi="Courier New"/>
          <w:sz w:val="22"/>
        </w:rPr>
      </w:pPr>
    </w:p>
    <w:p>
      <w:pPr>
        <w:jc w:val="both"/>
        <w:rPr>
          <w:rStyle w:val="C3"/>
          <w:rFonts w:ascii="Courier New" w:hAnsi="Courier New"/>
          <w:sz w:val="22"/>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rPr>
          <w:rStyle w:val="C3"/>
          <w:rFonts w:ascii="Courier New" w:hAnsi="Courier New"/>
          <w:b w:val="1"/>
          <w:sz w:val="24"/>
        </w:rPr>
      </w:pPr>
      <w:r>
        <w:rPr>
          <w:rStyle w:val="C3"/>
          <w:rFonts w:ascii="Courier New" w:hAnsi="Courier New"/>
          <w:b w:val="0"/>
          <w:sz w:val="24"/>
        </w:rPr>
        <w:t>...///7.-</w:t>
      </w:r>
    </w:p>
    <w:p>
      <w:pPr>
        <w:jc w:val="both"/>
        <w:rPr>
          <w:rStyle w:val="C3"/>
          <w:rFonts w:ascii="Courier New" w:hAnsi="Courier New"/>
          <w:sz w:val="22"/>
        </w:rPr>
      </w:pPr>
    </w:p>
    <w:p>
      <w:pPr>
        <w:jc w:val="both"/>
        <w:rPr>
          <w:rStyle w:val="C3"/>
          <w:rFonts w:ascii="Courier New" w:hAnsi="Courier New"/>
          <w:sz w:val="22"/>
        </w:rPr>
      </w:pPr>
      <w:r>
        <w:rPr>
          <w:rStyle w:val="C3"/>
          <w:rFonts w:ascii="Courier New" w:hAnsi="Courier New"/>
          <w:sz w:val="22"/>
        </w:rPr>
        <w:t xml:space="preserve">permanente y sede operativa de las actividades de las empresas “Sarmiento SRL” y “Serranita SRL”, proyecto que contará de las siguientes actividades a realizar: Un tinglado de a dos agua de: Longitud Total: 42 mts. Ancho Total: 26 mts. Altura: 7 mts. (las medidas serán adecuadas al nuevo lote puesto que el mismo esta comprado par ser aplicado en otro lote). La característica del tinglado adquirido es que tiene una planificación modular con un crecimiento previsto de 500 metros cuadrados. En el mismo está previsto realizar las tareas de mantenimiento preventivo y  correctivo, mecánica pesada, gomería, electricidad, vestuarios y baños para el personal, etc. ; Playón de Maniobras y estacionamiento; Playón y lavadero de motores y carrocerías; Playón de combustibles líquidos; Oficinas para resolver tareas de: Trafico y Operaciones, Logística de Mantenimiento, stock, Recaudación, Finanzas y Administración, archivos, Atención a Proveedores y público en Gral., Sala de Capacitación y sala de reuniones de persona jerárquico, quedando expresamente prohibido su afectación a otro fin.---------------------------------------</w:t>
      </w:r>
    </w:p>
    <w:p>
      <w:pPr>
        <w:pStyle w:val="P20"/>
        <w:jc w:val="both"/>
        <w:rPr>
          <w:rStyle w:val="C3"/>
          <w:sz w:val="22"/>
        </w:rPr>
      </w:pPr>
      <w:r>
        <w:rPr>
          <w:rStyle w:val="C3"/>
          <w:b w:val="1"/>
          <w:sz w:val="22"/>
          <w:u w:val="single"/>
        </w:rPr>
        <w:t>SEXTA:</w:t>
      </w:r>
      <w:r>
        <w:rPr>
          <w:rStyle w:val="C3"/>
          <w:sz w:val="22"/>
        </w:rPr>
        <w:t xml:space="preserve"> EL COMPRADOR se obliga al pago de todas las Tasas y Servicios que pesen sobre los inmuebles y las multas que deriven del incumplimiento de las normas vigentes, a partir de la fecha de la toma de posesión efectiva del inmueble, liberando al VENDEDOR de toda responsabilidad, hasta que se realice la transferencia de dominio sobre los inmuebles y el consecuente cambio de titularidad, mediante escritura y registración respectivamente.-----------------------------------------------</w:t>
      </w:r>
    </w:p>
    <w:p>
      <w:pPr>
        <w:pStyle w:val="P20"/>
        <w:jc w:val="both"/>
        <w:rPr>
          <w:rStyle w:val="C3"/>
          <w:b w:val="1"/>
          <w:sz w:val="22"/>
          <w:u w:val="single"/>
        </w:rPr>
      </w:pPr>
      <w:r>
        <w:rPr>
          <w:rStyle w:val="C3"/>
          <w:b w:val="1"/>
          <w:sz w:val="22"/>
          <w:u w:val="single"/>
        </w:rPr>
        <w:t>SEPTIMA:</w:t>
      </w:r>
      <w:r>
        <w:rPr>
          <w:rStyle w:val="C3"/>
          <w:sz w:val="22"/>
        </w:rPr>
        <w:t xml:space="preserve"> Las partes fijan domicilio ut – supra para todos los efectos judiciales y/o extrajudiciales, renunciando expresamente al Fuero Federal y a cualquier otro de excepción que les pudiere corresponder y someten las acciones emergentes del presente a la jurisdicción de los Tribunales Ordinarios de la Ciudad de Alta Gracia.---------------------------------------------------------</w:t>
      </w:r>
    </w:p>
    <w:p>
      <w:pPr>
        <w:pStyle w:val="P20"/>
        <w:jc w:val="both"/>
        <w:rPr>
          <w:rStyle w:val="C3"/>
          <w:sz w:val="22"/>
        </w:rPr>
      </w:pPr>
      <w:r>
        <w:rPr>
          <w:rStyle w:val="C3"/>
          <w:b w:val="1"/>
          <w:sz w:val="22"/>
        </w:rPr>
        <w:t>PREVIA</w:t>
      </w:r>
      <w:r>
        <w:rPr>
          <w:rStyle w:val="C3"/>
          <w:sz w:val="22"/>
        </w:rPr>
        <w:t xml:space="preserve"> lectura y ratificación de su contenido, firman para constancia cinco (5) ejemplares de un mismo tenor y a un solo efecto en la Ciudad de Alta Gracia a los diecisiete (17) días del mes de mayo del año dos mil diez.---------------------------</w:t>
      </w:r>
    </w:p>
    <w:p>
      <w:pPr>
        <w:pStyle w:val="P16"/>
        <w:ind w:left="113"/>
        <w:rPr>
          <w:rStyle w:val="C3"/>
          <w:rFonts w:ascii="Courier New" w:hAnsi="Courier New"/>
          <w:b w:val="1"/>
          <w:sz w:val="24"/>
        </w:rPr>
      </w:pPr>
    </w:p>
    <w:p>
      <w:pPr>
        <w:pStyle w:val="P16"/>
        <w:ind w:left="113"/>
        <w:rPr>
          <w:rStyle w:val="C3"/>
          <w:rFonts w:ascii="Courier New" w:hAnsi="Courier New"/>
          <w:b w:val="1"/>
          <w:sz w:val="24"/>
        </w:rPr>
      </w:pPr>
    </w:p>
    <w:p>
      <w:pPr>
        <w:pStyle w:val="P16"/>
        <w:ind w:left="113"/>
        <w:jc w:val="center"/>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1EE655F7">
      <w:start w:val="0"/>
      <w:numFmt w:val="bullet"/>
      <w:suff w:val="tab"/>
      <w:lvlText w:val=""/>
      <w:lvlJc w:val="left"/>
      <w:pPr>
        <w:ind w:hanging="360" w:left="927"/>
      </w:pPr>
      <w:rPr>
        <w:rFonts w:ascii="Symbol" w:hAnsi="Symbol"/>
      </w:rPr>
    </w:lvl>
    <w:lvl w:ilvl="1" w:tplc="013132DF">
      <w:start w:val="1"/>
      <w:numFmt w:val="bullet"/>
      <w:suff w:val="tab"/>
      <w:lvlText w:val="o"/>
      <w:lvlJc w:val="left"/>
      <w:pPr>
        <w:ind w:hanging="360" w:left="1647"/>
      </w:pPr>
      <w:rPr>
        <w:rFonts w:ascii="Courier New" w:hAnsi="Courier New"/>
      </w:rPr>
    </w:lvl>
    <w:lvl w:ilvl="2" w:tplc="054BCAA5">
      <w:start w:val="1"/>
      <w:numFmt w:val="bullet"/>
      <w:suff w:val="tab"/>
      <w:lvlText w:val=""/>
      <w:lvlJc w:val="left"/>
      <w:pPr>
        <w:ind w:hanging="360" w:left="2367"/>
      </w:pPr>
      <w:rPr>
        <w:rFonts w:ascii="Wingdings" w:hAnsi="Wingdings"/>
      </w:rPr>
    </w:lvl>
    <w:lvl w:ilvl="3" w:tplc="1D9CBDF4">
      <w:start w:val="1"/>
      <w:numFmt w:val="bullet"/>
      <w:suff w:val="tab"/>
      <w:lvlText w:val=""/>
      <w:lvlJc w:val="left"/>
      <w:pPr>
        <w:ind w:hanging="360" w:left="3087"/>
      </w:pPr>
      <w:rPr>
        <w:rFonts w:ascii="Symbol" w:hAnsi="Symbol"/>
      </w:rPr>
    </w:lvl>
    <w:lvl w:ilvl="4" w:tplc="23F0358B">
      <w:start w:val="1"/>
      <w:numFmt w:val="bullet"/>
      <w:suff w:val="tab"/>
      <w:lvlText w:val="o"/>
      <w:lvlJc w:val="left"/>
      <w:pPr>
        <w:ind w:hanging="360" w:left="3807"/>
      </w:pPr>
      <w:rPr>
        <w:rFonts w:ascii="Courier New" w:hAnsi="Courier New"/>
      </w:rPr>
    </w:lvl>
    <w:lvl w:ilvl="5" w:tplc="00708DDD">
      <w:start w:val="1"/>
      <w:numFmt w:val="bullet"/>
      <w:suff w:val="tab"/>
      <w:lvlText w:val=""/>
      <w:lvlJc w:val="left"/>
      <w:pPr>
        <w:ind w:hanging="360" w:left="4527"/>
      </w:pPr>
      <w:rPr>
        <w:rFonts w:ascii="Wingdings" w:hAnsi="Wingdings"/>
      </w:rPr>
    </w:lvl>
    <w:lvl w:ilvl="6" w:tplc="747568CF">
      <w:start w:val="1"/>
      <w:numFmt w:val="bullet"/>
      <w:suff w:val="tab"/>
      <w:lvlText w:val=""/>
      <w:lvlJc w:val="left"/>
      <w:pPr>
        <w:ind w:hanging="360" w:left="5247"/>
      </w:pPr>
      <w:rPr>
        <w:rFonts w:ascii="Symbol" w:hAnsi="Symbol"/>
      </w:rPr>
    </w:lvl>
    <w:lvl w:ilvl="7" w:tplc="578BDA30">
      <w:start w:val="1"/>
      <w:numFmt w:val="bullet"/>
      <w:suff w:val="tab"/>
      <w:lvlText w:val="o"/>
      <w:lvlJc w:val="left"/>
      <w:pPr>
        <w:ind w:hanging="360" w:left="5967"/>
      </w:pPr>
      <w:rPr>
        <w:rFonts w:ascii="Courier New" w:hAnsi="Courier New"/>
      </w:rPr>
    </w:lvl>
    <w:lvl w:ilvl="8" w:tplc="35465308">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7">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6"/>
  </w:num>
  <w:num w:numId="2">
    <w:abstractNumId w:val="4"/>
  </w:num>
  <w:num w:numId="3">
    <w:abstractNumId w:val="5"/>
  </w:num>
  <w:num w:numId="4">
    <w:abstractNumId w:val="8"/>
  </w:num>
  <w:num w:numId="5">
    <w:abstractNumId w:val="9"/>
  </w:num>
  <w:num w:numId="6">
    <w:abstractNumId w:val="2"/>
  </w:num>
  <w:num w:numId="7">
    <w:abstractNumId w:val="7"/>
  </w:num>
  <w:num w:numId="8">
    <w:abstractNumId w:val="0"/>
  </w:num>
  <w:num w:numId="9">
    <w:abstractNumId w:val="1"/>
  </w:num>
  <w:num w:numId="10">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Texto independiente primera sangría"/>
    <w:basedOn w:val="P11"/>
    <w:next w:val="P29"/>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9"/>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2010-05-28T12:02:00Z</dcterms:created>
  <cp:lastModifiedBy>Ethan Puglia</cp:lastModifiedBy>
  <cp:lastPrinted>2010-05-28T10:55:00Z</cp:lastPrinted>
  <dcterms:modified xsi:type="dcterms:W3CDTF">2019-03-28T17:34:21Z</dcterms:modified>
  <cp:revision>6</cp:revision>
  <dc:title>PROYECTO DE ORDENANZA VIOLENCIA FAMILIAR</dc:title>
</cp:coreProperties>
</file>