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65F95" Type="http://schemas.openxmlformats.org/officeDocument/2006/relationships/officeDocument" Target="/word/document.xml" /><Relationship Id="coreR5265F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8647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1939/02;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pStyle w:val="P12"/>
        <w:ind w:left="567"/>
      </w:pPr>
    </w:p>
    <w:p>
      <w:pPr>
        <w:pStyle w:val="P13"/>
        <w:ind w:firstLine="0" w:left="567"/>
      </w:pPr>
      <w:r>
        <w:t>Que a través del presente y mediante nota, el Sr. Cardozo Jorge Héctor DNI 13.384.520, solicita eximición que en concepto de Tasa por Servicio a la Propiedad recae sobre el Inmueble Designación Catastral 03-01-275-07 Cuenta 6187 de los períodos 1995-2002;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del Relevamiento Socioeconómico y Ambiental se desprende que es un grupo familiar ubicado bajo la línea de la pobreza;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igualmente y pese a su situación económica el Sr. Cardozo solo debe el período por el cual pide la exención, teniendo las cuotas actuales al día;</w:t>
      </w:r>
    </w:p>
    <w:p>
      <w:pPr>
        <w:pStyle w:val="P13"/>
        <w:ind w:left="567"/>
      </w:pPr>
    </w:p>
    <w:p>
      <w:pPr>
        <w:pStyle w:val="P13"/>
        <w:ind w:firstLine="0" w:left="567"/>
      </w:pPr>
      <w:r>
        <w:t>Que en el contrato de Locación de Servicios Profesionales obrante a Fs.33, y según lo establecido en su Art.13, el Procurador actuante MP. 27436, en caso de carencias de recursos de los deudores, podrá renunciar a sus honorarios pero solo a petición del Intendente Municipal;</w:t>
      </w:r>
    </w:p>
    <w:p>
      <w:pPr>
        <w:pStyle w:val="P13"/>
        <w:ind w:firstLine="0" w:left="709"/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02 de Junio de 2010.-</w:t>
      </w:r>
    </w:p>
    <w:p>
      <w:pPr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3"/>
        <w:ind w:firstLine="0" w:left="709"/>
        <w:rPr>
          <w:rStyle w:val="C3"/>
        </w:rPr>
      </w:pPr>
    </w:p>
    <w:p>
      <w:pPr>
        <w:pStyle w:val="P11"/>
        <w:ind w:left="567"/>
      </w:pPr>
      <w:r>
        <w:t xml:space="preserve">      </w:t>
      </w: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</w:rPr>
        <w:t xml:space="preserve"> el CIEN POR CIENTO (100%) de la deuda correspondiente a los años 1995-2002, que en concepto de Tasa por Servicio a la Propiedad mantiene con la Municipalidad de Alta Gracia el Inmueble Designación Catastral 03-01-275-07 Cuenta 6187;</w:t>
      </w:r>
    </w:p>
    <w:p>
      <w:pPr>
        <w:ind w:hanging="567" w:left="567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Municipal, que interceda ante el Procurador actuante en un todo de acuerdo a lo  previsto en convenio de partes, en su Art.13º con el profesional abogado actuante, MP.27436, dejar sin efecto actuaciones Judiciales y los honorarios generados a tal efecto.-  </w:t>
      </w:r>
    </w:p>
    <w:p>
      <w:pPr>
        <w:pStyle w:val="P22"/>
        <w:contextualSpacing w:val="1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DOS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222FF53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2BFB72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663007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8D87DB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B2F1E9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E7119A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055AB5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366B30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5D80F8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2010-06-08T11:04:00Z</dcterms:created>
  <cp:lastModifiedBy>Ethan Puglia</cp:lastModifiedBy>
  <cp:lastPrinted>2010-06-08T10:57:00Z</cp:lastPrinted>
  <dcterms:modified xsi:type="dcterms:W3CDTF">2019-03-28T17:34:21Z</dcterms:modified>
  <cp:revision>5</cp:revision>
  <dc:title>PROYECTO DE ORDENANZA VIOLENCIA FAMILIAR</dc:title>
</cp:coreProperties>
</file>