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A78B6A9" Type="http://schemas.openxmlformats.org/officeDocument/2006/relationships/officeDocument" Target="/word/document.xml" /><Relationship Id="coreR3A78B6A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454" w:left="567"/>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rPr>
          <w:rStyle w:val="C3"/>
        </w:rPr>
      </w:pPr>
    </w:p>
    <w:p>
      <w:pPr>
        <w:pStyle w:val="P4"/>
        <w:rPr>
          <w:rStyle w:val="C3"/>
        </w:rPr>
      </w:pPr>
    </w:p>
    <w:p>
      <w:pPr>
        <w:pStyle w:val="P4"/>
      </w:pPr>
      <w:r>
        <w:t>ORDENANZA Nº 8651</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581/09, iniciado por Rodríguez, Alberto E. – Excepción al Código de Edificación; y</w:t>
      </w:r>
    </w:p>
    <w:p>
      <w:pPr>
        <w:ind w:hanging="561" w:left="561"/>
        <w:jc w:val="both"/>
        <w:rPr>
          <w:rStyle w:val="C3"/>
          <w:rFonts w:ascii="Courier New" w:hAnsi="Courier New"/>
        </w:rPr>
      </w:pPr>
    </w:p>
    <w:p>
      <w:pPr>
        <w:ind w:hanging="561" w:left="561"/>
        <w:jc w:val="both"/>
        <w:rPr>
          <w:rStyle w:val="C3"/>
          <w:rFonts w:ascii="Courier New" w:hAnsi="Courier New"/>
        </w:rPr>
      </w:pPr>
    </w:p>
    <w:p>
      <w:pPr>
        <w:pStyle w:val="P2"/>
      </w:pPr>
      <w:r>
        <w:t>C O N S I D E R A N D O</w:t>
      </w:r>
    </w:p>
    <w:p/>
    <w:p>
      <w:pPr>
        <w:ind w:left="567"/>
        <w:jc w:val="both"/>
        <w:rPr>
          <w:rStyle w:val="C3"/>
          <w:rFonts w:ascii="Courier New" w:hAnsi="Courier New"/>
        </w:rPr>
      </w:pPr>
      <w:r>
        <w:rPr>
          <w:rStyle w:val="C3"/>
          <w:rFonts w:ascii="Courier New" w:hAnsi="Courier New"/>
        </w:rPr>
        <w:t>Que en el mismo se solicita la autorización para construir en el inmueble Designación Catastral 4-1-111-5, ubicado en Tacuarí y Pte. Perón de Barrio el Cañito de nuestra Ciudad, un complejo de 3 departamentos para alquiler turístico de acuerdo a croquis que se adjunta a Fs.10;</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a Fs.7 el Área de Obras Privadas informa que el uso solicitado no se condice con el establecido por la Ord Nº 1294 (Código de Edificación y Urbanización de Alta Gracia, en vigencia transitoria para Expedientes iniciados con fecha anterior a la puesta en vigencia del nuevo Plan de Ordenamiento Urbano y Territorial: Ord. Nº 8547), como así también el retiro de Línea Municipal y de Medianera y el FOS y FOT;</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a Fs.12 y 12 vta., el Área de Planeamiento opina como factible el proyecto presentado como uso de vivienda múltiple, pero como negativo la posibilidad de subdivisión futura;</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 xml:space="preserve">Que visitado el lugar por la Comisión de Obras y Servicios Públicos, se observó que en el lugar existe una construcción (vivienda) de 118,96 m2, observando que lo proyectado, más allá de no cumplir con la distancia   establecida   de   los   retiros  de  Línea</w:t>
      </w:r>
    </w:p>
    <w:p>
      <w:pPr>
        <w:pStyle w:val="P11"/>
        <w:ind w:left="567"/>
        <w:jc w:val="right"/>
      </w:pPr>
      <w:r>
        <w:t>...///</w:t>
      </w:r>
    </w:p>
    <w:p>
      <w:pPr>
        <w:pStyle w:val="P11"/>
        <w:ind w:left="567"/>
      </w:pPr>
    </w:p>
    <w:p>
      <w:pPr>
        <w:pStyle w:val="P11"/>
        <w:ind w:left="567"/>
      </w:pPr>
    </w:p>
    <w:p>
      <w:pPr>
        <w:pStyle w:val="P11"/>
        <w:ind w:left="567"/>
      </w:pPr>
    </w:p>
    <w:p>
      <w:pPr>
        <w:pStyle w:val="P11"/>
        <w:ind w:left="567"/>
      </w:pPr>
    </w:p>
    <w:p>
      <w:pPr>
        <w:pStyle w:val="P11"/>
        <w:ind w:left="567"/>
      </w:pPr>
    </w:p>
    <w:p>
      <w:pPr>
        <w:pStyle w:val="P11"/>
        <w:ind w:left="567"/>
      </w:pPr>
    </w:p>
    <w:p>
      <w:pPr>
        <w:pStyle w:val="P11"/>
        <w:ind w:left="567"/>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rPr>
          <w:rStyle w:val="C3"/>
        </w:rPr>
      </w:pPr>
    </w:p>
    <w:p>
      <w:pPr>
        <w:pStyle w:val="P11"/>
      </w:pPr>
      <w:r>
        <w:t>...///2.-</w:t>
      </w:r>
    </w:p>
    <w:p>
      <w:pPr>
        <w:pStyle w:val="P11"/>
      </w:pPr>
    </w:p>
    <w:p>
      <w:pPr>
        <w:ind w:left="567"/>
        <w:jc w:val="both"/>
        <w:rPr>
          <w:rStyle w:val="C3"/>
          <w:rFonts w:ascii="Courier New" w:hAnsi="Courier New"/>
        </w:rPr>
      </w:pPr>
      <w:r>
        <w:rPr>
          <w:rStyle w:val="C3"/>
          <w:rFonts w:ascii="Courier New" w:hAnsi="Courier New"/>
        </w:rPr>
        <w:t>Municipal y de Medianera, se deja espacio de menores dimensiones, hecho que al ser lo proyectado de PB y PA, no perjudica al vecino por no estar sobre medianera;</w:t>
      </w:r>
    </w:p>
    <w:p>
      <w:pPr>
        <w:jc w:val="both"/>
        <w:rPr>
          <w:rStyle w:val="C3"/>
          <w:rFonts w:ascii="Courier New" w:hAnsi="Courier New"/>
        </w:rPr>
      </w:pPr>
    </w:p>
    <w:p>
      <w:pPr>
        <w:ind w:left="567"/>
        <w:jc w:val="both"/>
        <w:rPr>
          <w:rStyle w:val="C3"/>
          <w:rFonts w:ascii="Courier New" w:hAnsi="Courier New"/>
        </w:rPr>
      </w:pPr>
      <w:r>
        <w:rPr>
          <w:rStyle w:val="C3"/>
          <w:rFonts w:ascii="Courier New" w:hAnsi="Courier New"/>
        </w:rPr>
        <w:t>Que a Fs.14, el solicitante manifiesta que la vivienda existente, se encuentra en uso de alquiler turístico, al igual que lo que se construirá en caso de ser autorizado;</w:t>
      </w:r>
    </w:p>
    <w:p>
      <w:pPr>
        <w:pStyle w:val="P11"/>
        <w:ind w:left="567"/>
        <w:rPr>
          <w:rStyle w:val="C3"/>
        </w:rPr>
      </w:pPr>
    </w:p>
    <w:p>
      <w:pPr>
        <w:ind w:left="567"/>
        <w:jc w:val="both"/>
        <w:rPr>
          <w:rStyle w:val="C3"/>
          <w:rFonts w:ascii="Courier New" w:hAnsi="Courier New"/>
        </w:rPr>
      </w:pPr>
      <w:r>
        <w:rPr>
          <w:rStyle w:val="C3"/>
          <w:rFonts w:ascii="Courier New" w:hAnsi="Courier New"/>
        </w:rPr>
        <w:t>Que analizado el Expediente de referencia por la Comisión de Obras y Servicios Públicos, la misma emite despacho favorable, aprobado por unanimidad en Sesión Ordinaria del día 09 de Junio de 2010.-</w:t>
      </w:r>
    </w:p>
    <w:p>
      <w:pPr>
        <w:jc w:val="both"/>
        <w:rPr>
          <w:rStyle w:val="C3"/>
          <w:rFonts w:ascii="Courier New" w:hAnsi="Courier New"/>
        </w:rPr>
      </w:pPr>
    </w:p>
    <w:p>
      <w:pPr>
        <w:jc w:val="both"/>
        <w:rPr>
          <w:rStyle w:val="C3"/>
          <w:rFonts w:ascii="Courier New" w:hAnsi="Courier New"/>
        </w:rPr>
      </w:pPr>
    </w:p>
    <w:p>
      <w:pPr>
        <w:pStyle w:val="P11"/>
        <w:ind w:left="567"/>
        <w:rPr>
          <w:rStyle w:val="C3"/>
        </w:rPr>
      </w:pPr>
    </w:p>
    <w:p>
      <w:pPr>
        <w:pStyle w:val="P11"/>
        <w:ind w:left="567"/>
      </w:pPr>
      <w:r>
        <w:t xml:space="preserve">    </w:t>
      </w: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360" w:left="360"/>
        <w:jc w:val="both"/>
        <w:rPr>
          <w:rStyle w:val="C3"/>
          <w:rFonts w:ascii="Courier New" w:hAnsi="Courier New"/>
          <w:b w:val="1"/>
          <w:u w:val="single"/>
        </w:rPr>
      </w:pPr>
    </w:p>
    <w:p>
      <w:pPr>
        <w:jc w:val="both"/>
        <w:rPr>
          <w:rStyle w:val="C3"/>
          <w:rFonts w:ascii="Courier New" w:hAnsi="Courier New"/>
          <w:b w:val="1"/>
          <w:u w:val="single"/>
        </w:rPr>
      </w:pPr>
    </w:p>
    <w:p>
      <w:pPr>
        <w:ind w:hanging="284" w:left="284"/>
        <w:jc w:val="both"/>
        <w:rPr>
          <w:rStyle w:val="C3"/>
          <w:rFonts w:ascii="Courier New" w:hAnsi="Courier New"/>
          <w:b w:val="1"/>
          <w:u w:val="single"/>
        </w:rPr>
      </w:pPr>
    </w:p>
    <w:p>
      <w:pPr>
        <w:ind w:hanging="284" w:left="284"/>
        <w:jc w:val="both"/>
        <w:rPr>
          <w:rStyle w:val="C3"/>
          <w:rFonts w:ascii="Courier New" w:hAnsi="Courier New"/>
        </w:rPr>
      </w:pPr>
      <w:r>
        <w:rPr>
          <w:rStyle w:val="C3"/>
          <w:rFonts w:ascii="Courier New" w:hAnsi="Courier New"/>
          <w:b w:val="1"/>
          <w:u w:val="single"/>
        </w:rPr>
        <w:t>Art.1</w:t>
      </w:r>
      <w:r>
        <w:rPr>
          <w:rStyle w:val="C3"/>
          <w:rFonts w:ascii="Courier New" w:hAnsi="Courier New"/>
        </w:rPr>
        <w:t>:</w:t>
      </w:r>
      <w:r>
        <w:rPr>
          <w:rStyle w:val="C3"/>
          <w:rFonts w:ascii="Courier New" w:hAnsi="Courier New"/>
          <w:b w:val="1"/>
        </w:rPr>
        <w:t xml:space="preserve"> </w:t>
      </w:r>
      <w:r>
        <w:rPr>
          <w:rStyle w:val="C3"/>
          <w:rFonts w:ascii="Courier New" w:hAnsi="Courier New"/>
          <w:b w:val="1"/>
        </w:rPr>
        <w:t>AUTORIZ</w:t>
      </w:r>
      <w:r>
        <w:rPr>
          <w:rStyle w:val="C3"/>
          <w:rFonts w:ascii="Courier New" w:hAnsi="Courier New"/>
          <w:b w:val="1"/>
        </w:rPr>
        <w:t>AR</w:t>
      </w:r>
      <w:r>
        <w:rPr>
          <w:rStyle w:val="C3"/>
          <w:rFonts w:ascii="Courier New" w:hAnsi="Courier New"/>
        </w:rPr>
        <w:t xml:space="preserve"> al Sr. Rodríguez, Alberto Eugenio, a construir en el inmueble Designación Catastral 4-1-111-5, ubicado en Tacuarí y Pte. Perón de Barrio el Cañito de nuestra Ciudad, un complejo de TRES (3) departamentos para alquiler turístico de acuerdo a Croquis que se adjunta a Fs.10 del Expediente Nº 581/09, sin el cumplimiento de los Arts. Nº 251 “De los Usos”(Unifamiliar) y  Nº 252 “De la ocupación del suelo”(Retiros de líneas Medianera y de Edificación).-</w:t>
      </w:r>
    </w:p>
    <w:p>
      <w:pPr>
        <w:jc w:val="both"/>
        <w:rPr>
          <w:rStyle w:val="C3"/>
          <w:rFonts w:ascii="Courier New" w:hAnsi="Courier New"/>
        </w:rPr>
      </w:pPr>
    </w:p>
    <w:p>
      <w:pPr>
        <w:ind w:hanging="360" w:left="360"/>
        <w:jc w:val="right"/>
        <w:rPr>
          <w:rStyle w:val="C3"/>
          <w:rFonts w:ascii="Courier New" w:hAnsi="Courier New"/>
        </w:rPr>
      </w:pPr>
      <w:r>
        <w:rPr>
          <w:rStyle w:val="C3"/>
          <w:rFonts w:ascii="Courier New" w:hAnsi="Courier New"/>
        </w:rPr>
        <w:t>...///</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rPr>
          <w:rStyle w:val="C3"/>
        </w:rPr>
      </w:pPr>
    </w:p>
    <w:p>
      <w:pPr>
        <w:pStyle w:val="P11"/>
      </w:pPr>
      <w:r>
        <w:t>...///3.-</w:t>
      </w:r>
    </w:p>
    <w:p>
      <w:pPr>
        <w:ind w:hanging="360" w:left="360"/>
        <w:jc w:val="both"/>
        <w:rPr>
          <w:rStyle w:val="C3"/>
          <w:rFonts w:ascii="Courier New" w:hAnsi="Courier New"/>
          <w:b w:val="1"/>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NUEVE DÍAS DEL MES DE JUNIO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45A66F1"/>
    <w:multiLevelType w:val="hybridMultilevel"/>
    <w:lvl w:ilvl="0" w:tplc="74EBA315">
      <w:start w:val="0"/>
      <w:numFmt w:val="bullet"/>
      <w:suff w:val="tab"/>
      <w:lvlText w:val=""/>
      <w:lvlJc w:val="left"/>
      <w:pPr>
        <w:ind w:hanging="360" w:left="927"/>
      </w:pPr>
      <w:rPr>
        <w:rFonts w:ascii="Symbol" w:hAnsi="Symbol"/>
      </w:rPr>
    </w:lvl>
    <w:lvl w:ilvl="1" w:tplc="660DD83D">
      <w:start w:val="1"/>
      <w:numFmt w:val="bullet"/>
      <w:suff w:val="tab"/>
      <w:lvlText w:val="o"/>
      <w:lvlJc w:val="left"/>
      <w:pPr>
        <w:ind w:hanging="360" w:left="1647"/>
      </w:pPr>
      <w:rPr>
        <w:rFonts w:ascii="Courier New" w:hAnsi="Courier New"/>
      </w:rPr>
    </w:lvl>
    <w:lvl w:ilvl="2" w:tplc="46021443">
      <w:start w:val="1"/>
      <w:numFmt w:val="bullet"/>
      <w:suff w:val="tab"/>
      <w:lvlText w:val=""/>
      <w:lvlJc w:val="left"/>
      <w:pPr>
        <w:ind w:hanging="360" w:left="2367"/>
      </w:pPr>
      <w:rPr>
        <w:rFonts w:ascii="Wingdings" w:hAnsi="Wingdings"/>
      </w:rPr>
    </w:lvl>
    <w:lvl w:ilvl="3" w:tplc="36DAB103">
      <w:start w:val="1"/>
      <w:numFmt w:val="bullet"/>
      <w:suff w:val="tab"/>
      <w:lvlText w:val=""/>
      <w:lvlJc w:val="left"/>
      <w:pPr>
        <w:ind w:hanging="360" w:left="3087"/>
      </w:pPr>
      <w:rPr>
        <w:rFonts w:ascii="Symbol" w:hAnsi="Symbol"/>
      </w:rPr>
    </w:lvl>
    <w:lvl w:ilvl="4" w:tplc="5D471295">
      <w:start w:val="1"/>
      <w:numFmt w:val="bullet"/>
      <w:suff w:val="tab"/>
      <w:lvlText w:val="o"/>
      <w:lvlJc w:val="left"/>
      <w:pPr>
        <w:ind w:hanging="360" w:left="3807"/>
      </w:pPr>
      <w:rPr>
        <w:rFonts w:ascii="Courier New" w:hAnsi="Courier New"/>
      </w:rPr>
    </w:lvl>
    <w:lvl w:ilvl="5" w:tplc="00898384">
      <w:start w:val="1"/>
      <w:numFmt w:val="bullet"/>
      <w:suff w:val="tab"/>
      <w:lvlText w:val=""/>
      <w:lvlJc w:val="left"/>
      <w:pPr>
        <w:ind w:hanging="360" w:left="4527"/>
      </w:pPr>
      <w:rPr>
        <w:rFonts w:ascii="Wingdings" w:hAnsi="Wingdings"/>
      </w:rPr>
    </w:lvl>
    <w:lvl w:ilvl="6" w:tplc="5A987E59">
      <w:start w:val="1"/>
      <w:numFmt w:val="bullet"/>
      <w:suff w:val="tab"/>
      <w:lvlText w:val=""/>
      <w:lvlJc w:val="left"/>
      <w:pPr>
        <w:ind w:hanging="360" w:left="5247"/>
      </w:pPr>
      <w:rPr>
        <w:rFonts w:ascii="Symbol" w:hAnsi="Symbol"/>
      </w:rPr>
    </w:lvl>
    <w:lvl w:ilvl="7" w:tplc="406A79F2">
      <w:start w:val="1"/>
      <w:numFmt w:val="bullet"/>
      <w:suff w:val="tab"/>
      <w:lvlText w:val="o"/>
      <w:lvlJc w:val="left"/>
      <w:pPr>
        <w:ind w:hanging="360" w:left="5967"/>
      </w:pPr>
      <w:rPr>
        <w:rFonts w:ascii="Courier New" w:hAnsi="Courier New"/>
      </w:rPr>
    </w:lvl>
    <w:lvl w:ilvl="8" w:tplc="10A16B3B">
      <w:start w:val="1"/>
      <w:numFmt w:val="bullet"/>
      <w:suff w:val="tab"/>
      <w:lvlText w:val=""/>
      <w:lvlJc w:val="left"/>
      <w:pPr>
        <w:ind w:hanging="360" w:left="6687"/>
      </w:pPr>
      <w:rPr>
        <w:rFonts w:ascii="Wingdings" w:hAnsi="Wingdings"/>
      </w:rPr>
    </w:lvl>
  </w:abstractNum>
  <w:abstractNum w:abstractNumId="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5">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7">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8">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7"/>
  </w:num>
  <w:num w:numId="2">
    <w:abstractNumId w:val="4"/>
  </w:num>
  <w:num w:numId="3">
    <w:abstractNumId w:val="5"/>
  </w:num>
  <w:num w:numId="4">
    <w:abstractNumId w:val="9"/>
  </w:num>
  <w:num w:numId="5">
    <w:abstractNumId w:val="10"/>
  </w:num>
  <w:num w:numId="6">
    <w:abstractNumId w:val="2"/>
  </w:num>
  <w:num w:numId="7">
    <w:abstractNumId w:val="8"/>
  </w:num>
  <w:num w:numId="8">
    <w:abstractNumId w:val="0"/>
  </w:num>
  <w:num w:numId="9">
    <w:abstractNumId w:val="1"/>
  </w:num>
  <w:num w:numId="10">
    <w:abstractNumId w:val="3"/>
  </w:num>
  <w:num w:numId="11">
    <w:abstractNumId w:val="6"/>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7"/>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8"/>
    <w:pPr/>
    <w:rPr>
      <w:rFonts w:ascii="Tahoma" w:hAnsi="Tahoma"/>
      <w:sz w:val="16"/>
    </w:rPr>
  </w:style>
  <w:style w:type="paragraph" w:styleId="P28">
    <w:name w:val="Párrafo de lista"/>
    <w:basedOn w:val="P0"/>
    <w:next w:val="P28"/>
    <w:qFormat/>
    <w:pPr>
      <w:ind w:left="708"/>
    </w:pPr>
    <w:rPr/>
  </w:style>
  <w:style w:type="paragraph" w:styleId="P29">
    <w:name w:val="Texto independiente primera sangría"/>
    <w:basedOn w:val="P11"/>
    <w:next w:val="P29"/>
    <w:link w:val="C9"/>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Hipervínculo"/>
    <w:basedOn w:val="C3"/>
    <w:rPr>
      <w:color w:val="0000FF"/>
      <w:u w:val="single"/>
    </w:rPr>
  </w:style>
  <w:style w:type="character" w:styleId="C7">
    <w:name w:val="Texto independiente 2 Car"/>
    <w:basedOn w:val="C3"/>
    <w:link w:val="P16"/>
    <w:rPr>
      <w:rFonts w:ascii="Arial" w:hAnsi="Arial"/>
      <w:b w:val="1"/>
      <w:sz w:val="28"/>
    </w:rPr>
  </w:style>
  <w:style w:type="character" w:styleId="C8">
    <w:name w:val="Texto de globo Car"/>
    <w:basedOn w:val="C3"/>
    <w:link w:val="P27"/>
    <w:rPr>
      <w:rFonts w:ascii="Tahoma" w:hAnsi="Tahoma"/>
      <w:sz w:val="16"/>
    </w:rPr>
  </w:style>
  <w:style w:type="character" w:styleId="C9">
    <w:name w:val="Texto independiente primera sangría Car"/>
    <w:basedOn w:val="C5"/>
    <w:link w:val="P29"/>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2010-06-14T14:46:00Z</dcterms:created>
  <cp:lastModifiedBy>Ethan Puglia</cp:lastModifiedBy>
  <cp:lastPrinted>2010-06-29T14:12:00Z</cp:lastPrinted>
  <dcterms:modified xsi:type="dcterms:W3CDTF">2019-03-28T17:34:22Z</dcterms:modified>
  <cp:revision>5</cp:revision>
  <dc:title>PROYECTO DE ORDENANZA VIOLENCIA FAMILIAR</dc:title>
</cp:coreProperties>
</file>