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08ABFAA" Type="http://schemas.openxmlformats.org/officeDocument/2006/relationships/officeDocument" Target="/word/document.xml" /><Relationship Id="coreR208ABFAA"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hanging="454" w:left="567"/>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rPr>
          <w:rStyle w:val="C3"/>
        </w:rPr>
      </w:pPr>
    </w:p>
    <w:p>
      <w:pPr>
        <w:pStyle w:val="P4"/>
        <w:rPr>
          <w:rStyle w:val="C3"/>
        </w:rPr>
      </w:pPr>
    </w:p>
    <w:p>
      <w:pPr>
        <w:pStyle w:val="P4"/>
      </w:pPr>
      <w:r>
        <w:t>ORDENANZA Nº 8654</w:t>
      </w:r>
    </w:p>
    <w:p>
      <w:pPr>
        <w:ind w:hanging="561" w:left="561"/>
        <w:jc w:val="both"/>
        <w:rPr>
          <w:rStyle w:val="C3"/>
          <w:rFonts w:ascii="Courier New" w:hAnsi="Courier New"/>
        </w:rPr>
      </w:pPr>
    </w:p>
    <w:p>
      <w:pPr>
        <w:ind w:hanging="561" w:left="561"/>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El Expediente Nº 841/10, iniciado por Comisión de Taxis de Alta Gracia – Modificación Art.1º de la Ordenanza Nº 8619; y</w:t>
      </w:r>
    </w:p>
    <w:p>
      <w:pPr>
        <w:ind w:hanging="561" w:left="561"/>
        <w:jc w:val="both"/>
        <w:rPr>
          <w:rStyle w:val="C3"/>
          <w:rFonts w:ascii="Courier New" w:hAnsi="Courier New"/>
        </w:rPr>
      </w:pPr>
    </w:p>
    <w:p>
      <w:pPr>
        <w:ind w:hanging="561" w:left="561"/>
        <w:jc w:val="both"/>
        <w:rPr>
          <w:rStyle w:val="C3"/>
          <w:rFonts w:ascii="Courier New" w:hAnsi="Courier New"/>
        </w:rPr>
      </w:pPr>
    </w:p>
    <w:p>
      <w:pPr>
        <w:pStyle w:val="P2"/>
      </w:pPr>
      <w:r>
        <w:t>C O N S I D E R A N D O</w:t>
      </w:r>
    </w:p>
    <w:p/>
    <w:p/>
    <w:p>
      <w:pPr>
        <w:ind w:left="567"/>
        <w:jc w:val="both"/>
        <w:rPr>
          <w:rStyle w:val="C3"/>
          <w:rFonts w:ascii="Courier New" w:hAnsi="Courier New"/>
        </w:rPr>
      </w:pPr>
      <w:r>
        <w:rPr>
          <w:rStyle w:val="C3"/>
          <w:rFonts w:ascii="Courier New" w:hAnsi="Courier New"/>
        </w:rPr>
        <w:t>Que en el mismo solicita se incorpore dentro del cuadro tarifario establecido para el Servicio Público de Transporte en la modalidad de autos de alquiler tipo Taxis y Remises de la Ciudad de Alta Gracia, el ítem denominado “Espera al Usuario”, determinando que el mismo sea de Pesos Veinte Centavos ($0,20) cada TREINTA (30) segundos;</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 xml:space="preserve">Que en Ordenanza Nº 7774 fuera la última hacia atrás en la que se modificara el cuadro tarifario en donde constaba expresado implícitamente el importe de la Espera al Usuario;  </w:t>
      </w:r>
    </w:p>
    <w:p>
      <w:pPr>
        <w:ind w:left="567"/>
        <w:jc w:val="both"/>
        <w:rPr>
          <w:rStyle w:val="C3"/>
          <w:rFonts w:ascii="Courier New" w:hAnsi="Courier New"/>
        </w:rPr>
      </w:pPr>
      <w:r>
        <w:rPr>
          <w:rStyle w:val="C3"/>
          <w:rFonts w:ascii="Courier New" w:hAnsi="Courier New"/>
        </w:rPr>
        <w:t xml:space="preserve">  </w:t>
      </w:r>
    </w:p>
    <w:p>
      <w:pPr>
        <w:ind w:left="567"/>
        <w:jc w:val="both"/>
        <w:rPr>
          <w:rStyle w:val="C3"/>
          <w:rFonts w:ascii="Courier New" w:hAnsi="Courier New"/>
        </w:rPr>
      </w:pPr>
      <w:r>
        <w:rPr>
          <w:rStyle w:val="C3"/>
          <w:rFonts w:ascii="Courier New" w:hAnsi="Courier New"/>
        </w:rPr>
        <w:t>Que de acuerdo a manifestaciones de los permisionarios de este tipo de Servicio Público de Transporte, en acuerdo formal realizado con el Honorable Concejo Deliberante anterior, se dejó establecido que el ítem tarifario de la Espera al Usuario, quedaría incorporada en forma automática en los relojes marcadores de tarifa;</w:t>
      </w:r>
    </w:p>
    <w:p>
      <w:pPr>
        <w:ind w:left="567"/>
        <w:jc w:val="both"/>
        <w:rPr>
          <w:rStyle w:val="C3"/>
          <w:rFonts w:ascii="Courier New" w:hAnsi="Courier New"/>
        </w:rPr>
      </w:pPr>
    </w:p>
    <w:p>
      <w:pPr>
        <w:jc w:val="right"/>
        <w:rPr>
          <w:rStyle w:val="C3"/>
          <w:rFonts w:ascii="Courier New" w:hAnsi="Courier New"/>
        </w:rPr>
      </w:pPr>
      <w:r>
        <w:rPr>
          <w:rStyle w:val="C3"/>
          <w:rFonts w:ascii="Courier New" w:hAnsi="Courier New"/>
        </w:rPr>
        <w:t>...///</w:t>
      </w:r>
    </w:p>
    <w:p>
      <w:pPr>
        <w:jc w:val="both"/>
        <w:rPr>
          <w:rStyle w:val="C3"/>
          <w:rFonts w:ascii="Courier New" w:hAnsi="Courier New"/>
          <w:b w:val="1"/>
          <w:u w:val="single"/>
        </w:rPr>
      </w:pPr>
    </w:p>
    <w:p>
      <w:pPr>
        <w:jc w:val="both"/>
        <w:rPr>
          <w:rStyle w:val="C3"/>
          <w:rFonts w:ascii="Courier New" w:hAnsi="Courier New"/>
          <w:b w:val="1"/>
          <w:u w:val="single"/>
        </w:rPr>
      </w:pPr>
    </w:p>
    <w:p>
      <w:pPr>
        <w:ind w:hanging="284" w:left="284"/>
        <w:jc w:val="both"/>
        <w:rPr>
          <w:rStyle w:val="C3"/>
          <w:rFonts w:ascii="Courier New" w:hAnsi="Courier New"/>
          <w:b w:val="1"/>
          <w:u w:val="single"/>
        </w:rPr>
      </w:pPr>
    </w:p>
    <w:p>
      <w:pPr>
        <w:ind w:hanging="284" w:left="284"/>
        <w:jc w:val="both"/>
        <w:rPr>
          <w:rStyle w:val="C3"/>
          <w:rFonts w:ascii="Courier New" w:hAnsi="Courier New"/>
          <w:b w:val="1"/>
          <w:u w:val="single"/>
        </w:rPr>
      </w:pPr>
    </w:p>
    <w:p>
      <w:pPr>
        <w:ind w:hanging="284" w:left="284"/>
        <w:jc w:val="both"/>
        <w:rPr>
          <w:rStyle w:val="C3"/>
          <w:rFonts w:ascii="Courier New" w:hAnsi="Courier New"/>
          <w:b w:val="1"/>
          <w:u w:val="single"/>
        </w:rPr>
      </w:pPr>
    </w:p>
    <w:p>
      <w:pPr>
        <w:ind w:hanging="284" w:left="284"/>
        <w:jc w:val="both"/>
        <w:rPr>
          <w:rStyle w:val="C3"/>
          <w:rFonts w:ascii="Courier New" w:hAnsi="Courier New"/>
          <w:b w:val="1"/>
          <w:u w:val="single"/>
        </w:rPr>
      </w:pPr>
    </w:p>
    <w:p>
      <w:pPr>
        <w:ind w:hanging="284" w:left="284"/>
        <w:jc w:val="both"/>
        <w:rPr>
          <w:rStyle w:val="C3"/>
          <w:rFonts w:ascii="Courier New" w:hAnsi="Courier New"/>
          <w:b w:val="1"/>
          <w:u w:val="single"/>
        </w:rPr>
      </w:pPr>
    </w:p>
    <w:p>
      <w:pPr>
        <w:ind w:hanging="284" w:left="284"/>
        <w:jc w:val="both"/>
        <w:rPr>
          <w:rStyle w:val="C3"/>
          <w:rFonts w:ascii="Courier New" w:hAnsi="Courier New"/>
          <w:b w:val="1"/>
          <w:u w:val="single"/>
        </w:rPr>
      </w:pPr>
    </w:p>
    <w:p>
      <w:pPr>
        <w:ind w:hanging="284" w:left="284"/>
        <w:jc w:val="both"/>
        <w:rPr>
          <w:rStyle w:val="C3"/>
          <w:rFonts w:ascii="Courier New" w:hAnsi="Courier New"/>
          <w:b w:val="1"/>
          <w:u w:val="single"/>
        </w:rPr>
      </w:pPr>
    </w:p>
    <w:p>
      <w:pPr>
        <w:ind w:hanging="284" w:left="284"/>
        <w:jc w:val="both"/>
        <w:rPr>
          <w:rStyle w:val="C3"/>
          <w:rFonts w:ascii="Courier New" w:hAnsi="Courier New"/>
          <w:b w:val="1"/>
          <w:u w:val="single"/>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11"/>
        <w:rPr>
          <w:rStyle w:val="C3"/>
        </w:rPr>
      </w:pPr>
    </w:p>
    <w:p>
      <w:pPr>
        <w:pStyle w:val="P11"/>
      </w:pPr>
      <w:r>
        <w:t>...///2.-</w:t>
      </w:r>
    </w:p>
    <w:p>
      <w:pPr>
        <w:pStyle w:val="P11"/>
      </w:pPr>
    </w:p>
    <w:p>
      <w:pPr>
        <w:ind w:left="567"/>
        <w:jc w:val="both"/>
        <w:rPr>
          <w:rStyle w:val="C3"/>
          <w:rFonts w:ascii="Courier New" w:hAnsi="Courier New"/>
        </w:rPr>
      </w:pPr>
      <w:r>
        <w:rPr>
          <w:rStyle w:val="C3"/>
          <w:rFonts w:ascii="Courier New" w:hAnsi="Courier New"/>
        </w:rPr>
        <w:t>Que la Autoridad de Aplicación dentro del Departamento Ejecutivo Municipal, considera que para poder realizar los controles, es necesario que la normativa contemple la tarifa en cuestión;</w:t>
      </w:r>
    </w:p>
    <w:p>
      <w:pPr>
        <w:ind w:left="567"/>
        <w:jc w:val="both"/>
        <w:rPr>
          <w:rStyle w:val="C3"/>
          <w:rFonts w:ascii="Courier New" w:hAnsi="Courier New"/>
        </w:rPr>
      </w:pPr>
      <w:r>
        <w:rPr>
          <w:rStyle w:val="C3"/>
          <w:rFonts w:ascii="Courier New" w:hAnsi="Courier New"/>
        </w:rPr>
        <w:t xml:space="preserve">      </w:t>
      </w:r>
    </w:p>
    <w:p>
      <w:pPr>
        <w:ind w:left="567"/>
        <w:jc w:val="both"/>
        <w:rPr>
          <w:rStyle w:val="C3"/>
          <w:rFonts w:ascii="Courier New" w:hAnsi="Courier New"/>
        </w:rPr>
      </w:pPr>
      <w:r>
        <w:rPr>
          <w:rStyle w:val="C3"/>
          <w:rFonts w:ascii="Courier New" w:hAnsi="Courier New"/>
        </w:rPr>
        <w:t>Que analizado el Expediente de referencia por la Comisión de Transporte, la misma emite despacho favorable, aprobado por unanimidad en Sesión Ordinaria del día 16 de Junio de 2010.-</w:t>
      </w:r>
    </w:p>
    <w:p>
      <w:pPr>
        <w:jc w:val="both"/>
        <w:rPr>
          <w:rStyle w:val="C3"/>
          <w:rFonts w:ascii="Courier New" w:hAnsi="Courier New"/>
        </w:rPr>
      </w:pPr>
    </w:p>
    <w:p>
      <w:pPr>
        <w:jc w:val="both"/>
        <w:rPr>
          <w:rStyle w:val="C3"/>
          <w:rFonts w:ascii="Courier New" w:hAnsi="Courier New"/>
        </w:rPr>
      </w:pPr>
    </w:p>
    <w:p>
      <w:pPr>
        <w:pStyle w:val="P11"/>
        <w:ind w:left="567"/>
      </w:pPr>
      <w:r>
        <w:t xml:space="preserve">    </w:t>
      </w: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ALTA GRACIA SANCIONA CON FUERZA DE ORDENANZA</w:t>
      </w:r>
    </w:p>
    <w:p>
      <w:pPr>
        <w:pStyle w:val="P11"/>
        <w:rPr>
          <w:rStyle w:val="C3"/>
        </w:rPr>
      </w:pPr>
    </w:p>
    <w:p>
      <w:pPr>
        <w:pStyle w:val="P11"/>
        <w:rPr>
          <w:rStyle w:val="C3"/>
        </w:rPr>
      </w:pPr>
    </w:p>
    <w:p>
      <w:pPr>
        <w:ind w:hanging="284" w:left="284"/>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 xml:space="preserve">MODIFICAR </w:t>
      </w:r>
      <w:r>
        <w:rPr>
          <w:rStyle w:val="C3"/>
          <w:rFonts w:ascii="Courier New" w:hAnsi="Courier New"/>
        </w:rPr>
        <w:t>el Art.1º de la Ordenanza Nº 8619, incorporando el inc. c) La Espera al Usuario: una ficha de VEINTE CENTAVOS DE PESO ($ 0,20) cada TREINTA (30) segundos.-</w:t>
      </w:r>
    </w:p>
    <w:p>
      <w:pPr>
        <w:jc w:val="both"/>
        <w:rPr>
          <w:rStyle w:val="C3"/>
          <w:rFonts w:ascii="Courier New" w:hAnsi="Courier New"/>
        </w:rPr>
      </w:pPr>
      <w:r>
        <w:rPr>
          <w:rStyle w:val="C3"/>
          <w:rFonts w:ascii="Courier New" w:hAnsi="Courier New"/>
        </w:rPr>
        <w:t xml:space="preserve">       </w:t>
      </w:r>
    </w:p>
    <w:p>
      <w:pPr>
        <w:ind w:hanging="360" w:left="360"/>
        <w:jc w:val="both"/>
        <w:rPr>
          <w:rStyle w:val="C3"/>
          <w:rFonts w:ascii="Courier New" w:hAnsi="Courier New"/>
        </w:rPr>
      </w:pPr>
      <w:r>
        <w:rPr>
          <w:rStyle w:val="C3"/>
          <w:rFonts w:ascii="Courier New" w:hAnsi="Courier New"/>
          <w:b w:val="1"/>
          <w:u w:val="single"/>
        </w:rPr>
        <w:t>Art.2</w:t>
      </w:r>
      <w:r>
        <w:rPr>
          <w:rStyle w:val="C3"/>
          <w:rFonts w:ascii="Courier New" w:hAnsi="Courier New"/>
          <w:b w:val="1"/>
        </w:rPr>
        <w:t>: PROTOCOLÍCESE,</w:t>
      </w:r>
      <w:r>
        <w:rPr>
          <w:rStyle w:val="C3"/>
          <w:rFonts w:ascii="Courier New" w:hAnsi="Courier New"/>
        </w:rPr>
        <w:t xml:space="preserve"> comuníquese, publíquese en el Boletín Oficial de la ciudad de Alta Gracia, incorpórese al Libro de Ordenanzas y archívese.- </w:t>
      </w:r>
    </w:p>
    <w:p>
      <w:pPr>
        <w:pStyle w:val="P20"/>
        <w:jc w:val="both"/>
        <w:rPr>
          <w:rStyle w:val="C3"/>
          <w:sz w:val="24"/>
        </w:rPr>
      </w:pPr>
    </w:p>
    <w:p>
      <w:pPr>
        <w:pStyle w:val="P17"/>
        <w:rPr>
          <w:rStyle w:val="C3"/>
        </w:rPr>
      </w:pPr>
    </w:p>
    <w:p>
      <w:pPr>
        <w:pStyle w:val="P17"/>
      </w:pPr>
      <w:r>
        <w:t xml:space="preserve">DADA EN LA SALA DE SESIONES DEL HONORABLE CONCEJO DELIBERANTE A LOS DIECISEIS DÍAS DEL MES DE JUNIO DEL AÑO DOS MIL DIEZ.- </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r>
        <w:rPr>
          <w:rStyle w:val="C3"/>
          <w:rFonts w:ascii="Courier New" w:hAnsi="Courier New"/>
          <w:b w:val="1"/>
          <w:u w:val="single"/>
        </w:rPr>
        <w:t xml:space="preserve"> </w:t>
      </w: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45A66F1"/>
    <w:multiLevelType w:val="hybridMultilevel"/>
    <w:lvl w:ilvl="0" w:tplc="13536507">
      <w:start w:val="0"/>
      <w:numFmt w:val="bullet"/>
      <w:suff w:val="tab"/>
      <w:lvlText w:val=""/>
      <w:lvlJc w:val="left"/>
      <w:pPr>
        <w:ind w:hanging="360" w:left="927"/>
      </w:pPr>
      <w:rPr>
        <w:rFonts w:ascii="Symbol" w:hAnsi="Symbol"/>
      </w:rPr>
    </w:lvl>
    <w:lvl w:ilvl="1" w:tplc="34CC7CCE">
      <w:start w:val="1"/>
      <w:numFmt w:val="bullet"/>
      <w:suff w:val="tab"/>
      <w:lvlText w:val="o"/>
      <w:lvlJc w:val="left"/>
      <w:pPr>
        <w:ind w:hanging="360" w:left="1647"/>
      </w:pPr>
      <w:rPr>
        <w:rFonts w:ascii="Courier New" w:hAnsi="Courier New"/>
      </w:rPr>
    </w:lvl>
    <w:lvl w:ilvl="2" w:tplc="61471705">
      <w:start w:val="1"/>
      <w:numFmt w:val="bullet"/>
      <w:suff w:val="tab"/>
      <w:lvlText w:val=""/>
      <w:lvlJc w:val="left"/>
      <w:pPr>
        <w:ind w:hanging="360" w:left="2367"/>
      </w:pPr>
      <w:rPr>
        <w:rFonts w:ascii="Wingdings" w:hAnsi="Wingdings"/>
      </w:rPr>
    </w:lvl>
    <w:lvl w:ilvl="3" w:tplc="7ADCB33B">
      <w:start w:val="1"/>
      <w:numFmt w:val="bullet"/>
      <w:suff w:val="tab"/>
      <w:lvlText w:val=""/>
      <w:lvlJc w:val="left"/>
      <w:pPr>
        <w:ind w:hanging="360" w:left="3087"/>
      </w:pPr>
      <w:rPr>
        <w:rFonts w:ascii="Symbol" w:hAnsi="Symbol"/>
      </w:rPr>
    </w:lvl>
    <w:lvl w:ilvl="4" w:tplc="7E6757DE">
      <w:start w:val="1"/>
      <w:numFmt w:val="bullet"/>
      <w:suff w:val="tab"/>
      <w:lvlText w:val="o"/>
      <w:lvlJc w:val="left"/>
      <w:pPr>
        <w:ind w:hanging="360" w:left="3807"/>
      </w:pPr>
      <w:rPr>
        <w:rFonts w:ascii="Courier New" w:hAnsi="Courier New"/>
      </w:rPr>
    </w:lvl>
    <w:lvl w:ilvl="5" w:tplc="57D2B317">
      <w:start w:val="1"/>
      <w:numFmt w:val="bullet"/>
      <w:suff w:val="tab"/>
      <w:lvlText w:val=""/>
      <w:lvlJc w:val="left"/>
      <w:pPr>
        <w:ind w:hanging="360" w:left="4527"/>
      </w:pPr>
      <w:rPr>
        <w:rFonts w:ascii="Wingdings" w:hAnsi="Wingdings"/>
      </w:rPr>
    </w:lvl>
    <w:lvl w:ilvl="6" w:tplc="6589CC0D">
      <w:start w:val="1"/>
      <w:numFmt w:val="bullet"/>
      <w:suff w:val="tab"/>
      <w:lvlText w:val=""/>
      <w:lvlJc w:val="left"/>
      <w:pPr>
        <w:ind w:hanging="360" w:left="5247"/>
      </w:pPr>
      <w:rPr>
        <w:rFonts w:ascii="Symbol" w:hAnsi="Symbol"/>
      </w:rPr>
    </w:lvl>
    <w:lvl w:ilvl="7" w:tplc="749FD551">
      <w:start w:val="1"/>
      <w:numFmt w:val="bullet"/>
      <w:suff w:val="tab"/>
      <w:lvlText w:val="o"/>
      <w:lvlJc w:val="left"/>
      <w:pPr>
        <w:ind w:hanging="360" w:left="5967"/>
      </w:pPr>
      <w:rPr>
        <w:rFonts w:ascii="Courier New" w:hAnsi="Courier New"/>
      </w:rPr>
    </w:lvl>
    <w:lvl w:ilvl="8" w:tplc="7B5101D9">
      <w:start w:val="1"/>
      <w:numFmt w:val="bullet"/>
      <w:suff w:val="tab"/>
      <w:lvlText w:val=""/>
      <w:lvlJc w:val="left"/>
      <w:pPr>
        <w:ind w:hanging="360" w:left="6687"/>
      </w:pPr>
      <w:rPr>
        <w:rFonts w:ascii="Wingdings" w:hAnsi="Wingdings"/>
      </w:rPr>
    </w:lvl>
  </w:abstractNum>
  <w:abstractNum w:abstractNumId="2">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5">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6">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7">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8">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9">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0">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num w:numId="1">
    <w:abstractNumId w:val="7"/>
  </w:num>
  <w:num w:numId="2">
    <w:abstractNumId w:val="4"/>
  </w:num>
  <w:num w:numId="3">
    <w:abstractNumId w:val="5"/>
  </w:num>
  <w:num w:numId="4">
    <w:abstractNumId w:val="9"/>
  </w:num>
  <w:num w:numId="5">
    <w:abstractNumId w:val="10"/>
  </w:num>
  <w:num w:numId="6">
    <w:abstractNumId w:val="2"/>
  </w:num>
  <w:num w:numId="7">
    <w:abstractNumId w:val="8"/>
  </w:num>
  <w:num w:numId="8">
    <w:abstractNumId w:val="0"/>
  </w:num>
  <w:num w:numId="9">
    <w:abstractNumId w:val="1"/>
  </w:num>
  <w:num w:numId="10">
    <w:abstractNumId w:val="3"/>
  </w:num>
  <w:num w:numId="11">
    <w:abstractNumId w:val="6"/>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7"/>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8"/>
    <w:pPr/>
    <w:rPr>
      <w:rFonts w:ascii="Tahoma" w:hAnsi="Tahoma"/>
      <w:sz w:val="16"/>
    </w:rPr>
  </w:style>
  <w:style w:type="paragraph" w:styleId="P28">
    <w:name w:val="Párrafo de lista"/>
    <w:basedOn w:val="P0"/>
    <w:next w:val="P28"/>
    <w:qFormat/>
    <w:pPr>
      <w:ind w:left="708"/>
    </w:pPr>
    <w:rPr/>
  </w:style>
  <w:style w:type="paragraph" w:styleId="P29">
    <w:name w:val="Texto independiente primera sangría"/>
    <w:basedOn w:val="P11"/>
    <w:next w:val="P29"/>
    <w:link w:val="C9"/>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character" w:styleId="C5">
    <w:name w:val="Texto independiente Car"/>
    <w:basedOn w:val="C3"/>
    <w:link w:val="P11"/>
    <w:rPr>
      <w:rFonts w:ascii="Courier New" w:hAnsi="Courier New"/>
    </w:rPr>
  </w:style>
  <w:style w:type="character" w:styleId="C6">
    <w:name w:val="Hipervínculo"/>
    <w:basedOn w:val="C3"/>
    <w:rPr>
      <w:color w:val="0000FF"/>
      <w:u w:val="single"/>
    </w:rPr>
  </w:style>
  <w:style w:type="character" w:styleId="C7">
    <w:name w:val="Texto independiente 2 Car"/>
    <w:basedOn w:val="C3"/>
    <w:link w:val="P16"/>
    <w:rPr>
      <w:rFonts w:ascii="Arial" w:hAnsi="Arial"/>
      <w:b w:val="1"/>
      <w:sz w:val="28"/>
    </w:rPr>
  </w:style>
  <w:style w:type="character" w:styleId="C8">
    <w:name w:val="Texto de globo Car"/>
    <w:basedOn w:val="C3"/>
    <w:link w:val="P27"/>
    <w:rPr>
      <w:rFonts w:ascii="Tahoma" w:hAnsi="Tahoma"/>
      <w:sz w:val="16"/>
    </w:rPr>
  </w:style>
  <w:style w:type="character" w:styleId="C9">
    <w:name w:val="Texto independiente primera sangría Car"/>
    <w:basedOn w:val="C5"/>
    <w:link w:val="P29"/>
    <w:rPr>
      <w:rFonts w:ascii="Times New Roman" w:hAnsi="Times New Roman"/>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2010-06-18T14:52:00Z</dcterms:created>
  <cp:lastModifiedBy>Ethan Puglia</cp:lastModifiedBy>
  <cp:lastPrinted>2010-06-18T14:44:00Z</cp:lastPrinted>
  <dcterms:modified xsi:type="dcterms:W3CDTF">2019-03-28T17:34:22Z</dcterms:modified>
  <cp:revision>5</cp:revision>
  <dc:title>PROYECTO DE ORDENANZA VIOLENCIA FAMILIAR</dc:title>
</cp:coreProperties>
</file>