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6EBD8AC" Type="http://schemas.openxmlformats.org/officeDocument/2006/relationships/officeDocument" Target="/word/document.xml" /><Relationship Id="coreR46EBD8A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8655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Nº 8615;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jc w:val="center"/>
      </w:pPr>
    </w:p>
    <w:p>
      <w:pPr>
        <w:jc w:val="center"/>
      </w:pPr>
    </w:p>
    <w:p>
      <w:pPr>
        <w:pStyle w:val="P13"/>
        <w:tabs>
          <w:tab w:val="left" w:pos="0" w:leader="none"/>
        </w:tabs>
        <w:ind w:firstLine="0" w:left="567"/>
      </w:pPr>
      <w:r>
        <w:t xml:space="preserve">Que mediante la misma se Exime el  CIEN POR CIENTO (100%) de la deuda que en concepto de Tasa por Servicios a la propiedad recae sobre el inmueble Designación Catastral 03-01-285-004 – Cuenta 18568;</w:t>
      </w:r>
    </w:p>
    <w:p>
      <w:pPr>
        <w:pStyle w:val="P13"/>
        <w:tabs>
          <w:tab w:val="left" w:pos="0" w:leader="none"/>
        </w:tabs>
        <w:ind w:firstLine="0" w:left="567"/>
      </w:pPr>
    </w:p>
    <w:p>
      <w:pPr>
        <w:pStyle w:val="P13"/>
        <w:tabs>
          <w:tab w:val="left" w:pos="-567" w:leader="none"/>
        </w:tabs>
        <w:ind w:firstLine="0" w:left="567"/>
      </w:pPr>
      <w:r>
        <w:t>Que, luego de la sanción de la Ordenanza que nos ocupa, se observa que en el Expediente Nº 602/00 obran dos estados de deuda con diferentes Designaciones Catastrales y Nº cuentas;</w:t>
      </w:r>
    </w:p>
    <w:p>
      <w:pPr>
        <w:pStyle w:val="P13"/>
        <w:tabs>
          <w:tab w:val="left" w:pos="-567" w:leader="none"/>
        </w:tabs>
        <w:ind w:firstLine="0" w:left="567"/>
      </w:pPr>
    </w:p>
    <w:p>
      <w:pPr>
        <w:pStyle w:val="P13"/>
        <w:tabs>
          <w:tab w:val="left" w:pos="-567" w:leader="none"/>
        </w:tabs>
        <w:ind w:firstLine="0" w:left="567"/>
      </w:pPr>
      <w:r>
        <w:t>Que la Comisión de Hacienda se presentó en la Dirección de Ingresos Públicos, donde le informan que el número de cuenta correspondiente a la Designación Catastral 03-01-285-000 es 9427 y no 18568, el cual ya está en situación de remate;</w:t>
      </w:r>
    </w:p>
    <w:p>
      <w:pPr>
        <w:pStyle w:val="P13"/>
        <w:tabs>
          <w:tab w:val="left" w:pos="-567" w:leader="none"/>
        </w:tabs>
        <w:ind w:firstLine="0" w:left="567"/>
      </w:pPr>
    </w:p>
    <w:p>
      <w:pPr>
        <w:pStyle w:val="P13"/>
        <w:tabs>
          <w:tab w:val="left" w:pos="-567" w:leader="none"/>
        </w:tabs>
        <w:ind w:firstLine="0" w:left="567"/>
      </w:pPr>
      <w:r>
        <w:t>Que es necesario, oportuno y conveniente efectuar la correspondiente corrección;</w:t>
      </w:r>
    </w:p>
    <w:p>
      <w:pPr>
        <w:tabs>
          <w:tab w:val="left" w:pos="-567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analizada la Ordenanza de referencia por la Comisión de Hacienda, la misma emite despacho favorable, aprobado por unanimidad en Sesión Ordinaria del día 16 de Junio de 2010.-</w:t>
      </w:r>
    </w:p>
    <w:p>
      <w:pPr>
        <w:tabs>
          <w:tab w:val="left" w:pos="7387" w:leader="none"/>
          <w:tab w:val="right" w:pos="8504" w:leader="none"/>
        </w:tabs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tabs>
          <w:tab w:val="left" w:pos="7387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>...///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  <w:rPr>
          <w:rStyle w:val="C3"/>
        </w:rPr>
      </w:pPr>
    </w:p>
    <w:p>
      <w:pPr>
        <w:pStyle w:val="P11"/>
      </w:pPr>
      <w:r>
        <w:t>...///2.-</w:t>
      </w:r>
    </w:p>
    <w:p>
      <w:pPr>
        <w:pStyle w:val="P11"/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pStyle w:val="P11"/>
        <w:ind w:left="567"/>
        <w:rPr>
          <w:rStyle w:val="C3"/>
          <w:b w:val="1"/>
        </w:rPr>
      </w:pPr>
      <w:r>
        <w:t xml:space="preserve"> </w:t>
      </w: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1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MODIFICASE</w:t>
      </w:r>
      <w:r>
        <w:rPr>
          <w:rStyle w:val="C3"/>
          <w:rFonts w:ascii="Courier New" w:hAnsi="Courier New"/>
        </w:rPr>
        <w:t xml:space="preserve"> el Art.1 de la Ordenanza Nº 8615 en los siguientes términos;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En donde dice: “...Inmueble Designación Catastral 03-01-285-004 – Cta.18568.”, deberá decir “...Inmueble Designación Catastral 03-01-285-004 – Cta.9427".-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</w:t>
      </w: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DIECISEIS DÍAS DEL MES DE JUNIO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5A66F1"/>
    <w:multiLevelType w:val="hybridMultilevel"/>
    <w:lvl w:ilvl="0" w:tplc="3A4F399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7E576A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E3C97C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CACA6A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F01CF6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77D959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A06D04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2EF85C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085CAD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7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8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9"/>
  </w:num>
  <w:num w:numId="5">
    <w:abstractNumId w:val="10"/>
  </w:num>
  <w:num w:numId="6">
    <w:abstractNumId w:val="2"/>
  </w:num>
  <w:num w:numId="7">
    <w:abstractNumId w:val="8"/>
  </w:num>
  <w:num w:numId="8">
    <w:abstractNumId w:val="0"/>
  </w:num>
  <w:num w:numId="9">
    <w:abstractNumId w:val="1"/>
  </w:num>
  <w:num w:numId="10">
    <w:abstractNumId w:val="3"/>
  </w:num>
  <w:num w:numId="11">
    <w:abstractNumId w:val="6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Texto independiente primera sangría"/>
    <w:basedOn w:val="P11"/>
    <w:next w:val="P29"/>
    <w:link w:val="C9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Texto independiente primera sangría Car"/>
    <w:basedOn w:val="C5"/>
    <w:link w:val="P29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2010-06-18T15:08:00Z</dcterms:created>
  <cp:lastModifiedBy>Ethan Puglia</cp:lastModifiedBy>
  <cp:lastPrinted>2010-06-25T10:19:00Z</cp:lastPrinted>
  <dcterms:modified xsi:type="dcterms:W3CDTF">2019-03-28T17:34:22Z</dcterms:modified>
  <cp:revision>6</cp:revision>
  <dc:title>PROYECTO DE ORDENANZA VIOLENCIA FAMILIAR</dc:title>
</cp:coreProperties>
</file>