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F63B70" Type="http://schemas.openxmlformats.org/officeDocument/2006/relationships/officeDocument" Target="/word/document.xml" /><Relationship Id="coreR7F63B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8656</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188/03, iniciado por la Sra. Haideé Susana Rocha;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jc w:val="center"/>
      </w:pPr>
    </w:p>
    <w:p>
      <w:pPr>
        <w:jc w:val="center"/>
      </w:pPr>
    </w:p>
    <w:p>
      <w:pPr>
        <w:pStyle w:val="P13"/>
        <w:tabs>
          <w:tab w:val="left" w:pos="0" w:leader="none"/>
        </w:tabs>
        <w:ind w:firstLine="0" w:left="567"/>
      </w:pPr>
      <w:r>
        <w:t>Que solicita eximición de deuda de Tasa por Servicios a la Propiedad y de Derechos de Inhumación de Cementerio;</w:t>
      </w:r>
    </w:p>
    <w:p>
      <w:pPr>
        <w:pStyle w:val="P13"/>
        <w:tabs>
          <w:tab w:val="left" w:pos="0" w:leader="none"/>
        </w:tabs>
        <w:ind w:firstLine="0" w:left="567"/>
      </w:pPr>
    </w:p>
    <w:p>
      <w:pPr>
        <w:pStyle w:val="P13"/>
        <w:tabs>
          <w:tab w:val="left" w:pos="0" w:leader="none"/>
        </w:tabs>
        <w:ind w:firstLine="0" w:left="567"/>
      </w:pPr>
      <w:r>
        <w:t>Que la deuda de Tasa por Servicios a la propiedad corresponde al inmueble Designación Catastral 03-01-133-005 y la de Cementerio a la Identificación 006462;</w:t>
      </w:r>
    </w:p>
    <w:p>
      <w:pPr>
        <w:pStyle w:val="P13"/>
        <w:tabs>
          <w:tab w:val="left" w:pos="0" w:leader="none"/>
        </w:tabs>
        <w:ind w:firstLine="0" w:left="567"/>
      </w:pPr>
    </w:p>
    <w:p>
      <w:pPr>
        <w:pStyle w:val="P13"/>
        <w:tabs>
          <w:tab w:val="left" w:pos="0" w:leader="none"/>
        </w:tabs>
        <w:ind w:firstLine="0" w:left="567"/>
      </w:pPr>
      <w:r>
        <w:t>Que la solicitante es viuda, viviendo con sus dos hijos y con ingresos insuficientes para afrontar el pago de la deuda que mediante Ordenanza Nº 7693 se le otorgó la posibilidad de realizar en plan de pagos por la deuda de Tasa a la Propiedad y por Ordenanza Nº 7694 se le eximió la deuda de cementerio;</w:t>
      </w:r>
    </w:p>
    <w:p>
      <w:pPr>
        <w:pStyle w:val="P13"/>
        <w:tabs>
          <w:tab w:val="left" w:pos="0" w:leader="none"/>
        </w:tabs>
        <w:ind w:firstLine="0" w:left="567"/>
      </w:pPr>
    </w:p>
    <w:p>
      <w:pPr>
        <w:pStyle w:val="P13"/>
        <w:tabs>
          <w:tab w:val="left" w:pos="0" w:leader="none"/>
        </w:tabs>
        <w:ind w:firstLine="0" w:left="567"/>
      </w:pPr>
      <w:r>
        <w:t>Que al estar la deuda de la propiedad en juicio, no pudo concretar el plan de pagos por los altos honorarios que se debitan al procurador actuante y respecto de cementerio quedó impago una parte de los derechos de inhumación;</w:t>
      </w:r>
    </w:p>
    <w:p>
      <w:pPr>
        <w:pStyle w:val="P13"/>
        <w:tabs>
          <w:tab w:val="left" w:pos="0" w:leader="none"/>
        </w:tabs>
        <w:ind w:firstLine="0" w:left="567"/>
      </w:pPr>
    </w:p>
    <w:p>
      <w:pPr>
        <w:pStyle w:val="P13"/>
        <w:tabs>
          <w:tab w:val="left" w:pos="0" w:leader="none"/>
        </w:tabs>
        <w:ind w:firstLine="0" w:left="567"/>
      </w:pPr>
      <w:r>
        <w:t xml:space="preserve">Que la solicitante manifiesta su voluntad de abonar las cuotas futuras una vez solucionado el problema de la deuda;   </w:t>
      </w:r>
    </w:p>
    <w:p>
      <w:pPr>
        <w:tabs>
          <w:tab w:val="left" w:pos="-567" w:leader="none"/>
        </w:tabs>
        <w:ind w:left="426"/>
        <w:jc w:val="both"/>
        <w:rPr>
          <w:rStyle w:val="C3"/>
          <w:rFonts w:ascii="Courier New" w:hAnsi="Courier New"/>
        </w:rPr>
      </w:pPr>
    </w:p>
    <w:p>
      <w:pPr>
        <w:tabs>
          <w:tab w:val="left" w:pos="7387" w:leader="none"/>
          <w:tab w:val="right" w:pos="8504" w:leader="none"/>
        </w:tabs>
        <w:jc w:val="both"/>
        <w:rPr>
          <w:rStyle w:val="C3"/>
          <w:rFonts w:ascii="Courier New" w:hAnsi="Courier New"/>
        </w:rPr>
      </w:pPr>
      <w:r>
        <w:rPr>
          <w:rStyle w:val="C3"/>
          <w:rFonts w:ascii="Courier New" w:hAnsi="Courier New"/>
        </w:rPr>
        <w:tab/>
      </w:r>
    </w:p>
    <w:p>
      <w:pPr>
        <w:tabs>
          <w:tab w:val="left" w:pos="7387" w:leader="none"/>
        </w:tabs>
        <w:rPr>
          <w:rStyle w:val="C3"/>
          <w:rFonts w:ascii="Courier New" w:hAnsi="Courier New"/>
        </w:rPr>
      </w:pPr>
      <w:r>
        <w:rPr>
          <w:rStyle w:val="C3"/>
          <w:rFonts w:ascii="Courier New" w:hAnsi="Courier New"/>
        </w:rPr>
        <w:tab/>
        <w:t>...///</w:t>
      </w:r>
    </w:p>
    <w:p>
      <w:pPr>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16 de Junio de 2010.-</w:t>
      </w:r>
    </w:p>
    <w:p>
      <w:pPr>
        <w:pStyle w:val="P11"/>
        <w:rPr>
          <w:rStyle w:val="C3"/>
        </w:rPr>
      </w:pPr>
    </w:p>
    <w:p>
      <w:pPr>
        <w:ind w:left="567"/>
        <w:jc w:val="both"/>
        <w:rPr>
          <w:rStyle w:val="C3"/>
          <w:rFonts w:ascii="Courier New" w:hAnsi="Courier New"/>
        </w:rPr>
      </w:pPr>
      <w:r>
        <w:rPr>
          <w:rStyle w:val="C3"/>
          <w:rFonts w:ascii="Courier New" w:hAnsi="Courier New"/>
        </w:rPr>
        <w:t xml:space="preserve">   </w:t>
      </w:r>
    </w:p>
    <w:p>
      <w:pPr>
        <w:pStyle w:val="P11"/>
        <w:ind w:left="567"/>
        <w:rPr>
          <w:rStyle w:val="C3"/>
          <w:b w:val="1"/>
        </w:rPr>
      </w:pPr>
      <w:r>
        <w:t xml:space="preserve"> </w:t>
      </w: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XÍMASE</w:t>
      </w:r>
      <w:r>
        <w:rPr>
          <w:rStyle w:val="C3"/>
          <w:rFonts w:ascii="Courier New" w:hAnsi="Courier New"/>
        </w:rPr>
        <w:t xml:space="preserve"> en un CIEN POR CIENTO (100%) la deuda que a la fecha de promulgación de la presente, mantiene con la Municipalidad de Alta Gracia el inmueble Designación Catastral 03-01-133-005.-</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SOLICITAR </w:t>
      </w:r>
      <w:r>
        <w:rPr>
          <w:rStyle w:val="C3"/>
          <w:rFonts w:ascii="Courier New" w:hAnsi="Courier New"/>
        </w:rPr>
        <w:t>al Sr. Intendente interceda ante el procurador actuante a los fines de dejar sin efecto el juicio iniciado y los honorarios generados, en un todo de conformidad a lo establecido en el Art.13 del Contrato de Locación de Servicios Profesionales suscripto entre el mismo y el Estado Municipal el cual se adjunta a la presente.-</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EXIMASE </w:t>
      </w:r>
      <w:r>
        <w:rPr>
          <w:rStyle w:val="C3"/>
          <w:rFonts w:ascii="Courier New" w:hAnsi="Courier New"/>
        </w:rPr>
        <w:t xml:space="preserve">el saldo adeudado por derechos de inhumación correspondientes a la sepultura Identificación 006462.-   </w:t>
      </w:r>
    </w:p>
    <w:p>
      <w:pPr>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DIECISEIS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...///3.-</w:t>
      </w:r>
    </w:p>
    <w:p>
      <w:pPr>
        <w:pStyle w:val="P11"/>
      </w:pPr>
    </w:p>
    <w:p>
      <w:pPr>
        <w:pStyle w:val="P11"/>
      </w:pPr>
    </w:p>
    <w:p>
      <w:pPr>
        <w:pStyle w:val="P11"/>
      </w:pPr>
    </w:p>
    <w:p>
      <w:pPr>
        <w:pStyle w:val="P11"/>
      </w:pPr>
    </w:p>
    <w:p>
      <w:pPr>
        <w:pStyle w:val="P11"/>
      </w:pPr>
    </w:p>
    <w:p>
      <w:pPr>
        <w:pStyle w:val="P11"/>
      </w:pPr>
    </w:p>
    <w:p>
      <w:pPr>
        <w:pStyle w:val="P11"/>
      </w:pPr>
    </w:p>
    <w:p>
      <w:pPr>
        <w:pStyle w:val="P11"/>
      </w:pPr>
    </w:p>
    <w:p>
      <w:pPr>
        <w:pStyle w:val="P11"/>
        <w:jc w:val="center"/>
        <w:rPr>
          <w:rStyle w:val="C3"/>
          <w:b w:val="1"/>
          <w:sz w:val="144"/>
        </w:rPr>
      </w:pPr>
    </w:p>
    <w:p>
      <w:pPr>
        <w:pStyle w:val="P11"/>
        <w:jc w:val="center"/>
        <w:rPr>
          <w:rStyle w:val="C3"/>
          <w:b w:val="1"/>
          <w:sz w:val="200"/>
        </w:rPr>
      </w:pPr>
      <w:r>
        <w:rPr>
          <w:rStyle w:val="C3"/>
          <w:b w:val="1"/>
          <w:sz w:val="200"/>
        </w:rPr>
        <w:t>ANEXO</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2BB739C0">
      <w:start w:val="0"/>
      <w:numFmt w:val="bullet"/>
      <w:suff w:val="tab"/>
      <w:lvlText w:val=""/>
      <w:lvlJc w:val="left"/>
      <w:pPr>
        <w:ind w:hanging="360" w:left="927"/>
      </w:pPr>
      <w:rPr>
        <w:rFonts w:ascii="Symbol" w:hAnsi="Symbol"/>
      </w:rPr>
    </w:lvl>
    <w:lvl w:ilvl="1" w:tplc="25188FDB">
      <w:start w:val="1"/>
      <w:numFmt w:val="bullet"/>
      <w:suff w:val="tab"/>
      <w:lvlText w:val="o"/>
      <w:lvlJc w:val="left"/>
      <w:pPr>
        <w:ind w:hanging="360" w:left="1647"/>
      </w:pPr>
      <w:rPr>
        <w:rFonts w:ascii="Courier New" w:hAnsi="Courier New"/>
      </w:rPr>
    </w:lvl>
    <w:lvl w:ilvl="2" w:tplc="6EF92D8F">
      <w:start w:val="1"/>
      <w:numFmt w:val="bullet"/>
      <w:suff w:val="tab"/>
      <w:lvlText w:val=""/>
      <w:lvlJc w:val="left"/>
      <w:pPr>
        <w:ind w:hanging="360" w:left="2367"/>
      </w:pPr>
      <w:rPr>
        <w:rFonts w:ascii="Wingdings" w:hAnsi="Wingdings"/>
      </w:rPr>
    </w:lvl>
    <w:lvl w:ilvl="3" w:tplc="61132689">
      <w:start w:val="1"/>
      <w:numFmt w:val="bullet"/>
      <w:suff w:val="tab"/>
      <w:lvlText w:val=""/>
      <w:lvlJc w:val="left"/>
      <w:pPr>
        <w:ind w:hanging="360" w:left="3087"/>
      </w:pPr>
      <w:rPr>
        <w:rFonts w:ascii="Symbol" w:hAnsi="Symbol"/>
      </w:rPr>
    </w:lvl>
    <w:lvl w:ilvl="4" w:tplc="29992DA8">
      <w:start w:val="1"/>
      <w:numFmt w:val="bullet"/>
      <w:suff w:val="tab"/>
      <w:lvlText w:val="o"/>
      <w:lvlJc w:val="left"/>
      <w:pPr>
        <w:ind w:hanging="360" w:left="3807"/>
      </w:pPr>
      <w:rPr>
        <w:rFonts w:ascii="Courier New" w:hAnsi="Courier New"/>
      </w:rPr>
    </w:lvl>
    <w:lvl w:ilvl="5" w:tplc="4BD05C83">
      <w:start w:val="1"/>
      <w:numFmt w:val="bullet"/>
      <w:suff w:val="tab"/>
      <w:lvlText w:val=""/>
      <w:lvlJc w:val="left"/>
      <w:pPr>
        <w:ind w:hanging="360" w:left="4527"/>
      </w:pPr>
      <w:rPr>
        <w:rFonts w:ascii="Wingdings" w:hAnsi="Wingdings"/>
      </w:rPr>
    </w:lvl>
    <w:lvl w:ilvl="6" w:tplc="6B8A3435">
      <w:start w:val="1"/>
      <w:numFmt w:val="bullet"/>
      <w:suff w:val="tab"/>
      <w:lvlText w:val=""/>
      <w:lvlJc w:val="left"/>
      <w:pPr>
        <w:ind w:hanging="360" w:left="5247"/>
      </w:pPr>
      <w:rPr>
        <w:rFonts w:ascii="Symbol" w:hAnsi="Symbol"/>
      </w:rPr>
    </w:lvl>
    <w:lvl w:ilvl="7" w:tplc="7AB0B12A">
      <w:start w:val="1"/>
      <w:numFmt w:val="bullet"/>
      <w:suff w:val="tab"/>
      <w:lvlText w:val="o"/>
      <w:lvlJc w:val="left"/>
      <w:pPr>
        <w:ind w:hanging="360" w:left="5967"/>
      </w:pPr>
      <w:rPr>
        <w:rFonts w:ascii="Courier New" w:hAnsi="Courier New"/>
      </w:rPr>
    </w:lvl>
    <w:lvl w:ilvl="8" w:tplc="1A3E066F">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4"/>
  </w:num>
  <w:num w:numId="3">
    <w:abstractNumId w:val="5"/>
  </w:num>
  <w:num w:numId="4">
    <w:abstractNumId w:val="9"/>
  </w:num>
  <w:num w:numId="5">
    <w:abstractNumId w:val="10"/>
  </w:num>
  <w:num w:numId="6">
    <w:abstractNumId w:val="2"/>
  </w:num>
  <w:num w:numId="7">
    <w:abstractNumId w:val="8"/>
  </w:num>
  <w:num w:numId="8">
    <w:abstractNumId w:val="0"/>
  </w:num>
  <w:num w:numId="9">
    <w:abstractNumId w:val="1"/>
  </w:num>
  <w:num w:numId="10">
    <w:abstractNumId w:val="3"/>
  </w:num>
  <w:num w:numId="11">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2010-06-25T10:40:00Z</dcterms:created>
  <cp:lastModifiedBy>Ethan Puglia</cp:lastModifiedBy>
  <cp:lastPrinted>2010-07-05T12:57:00Z</cp:lastPrinted>
  <dcterms:modified xsi:type="dcterms:W3CDTF">2019-03-28T17:34:22Z</dcterms:modified>
  <cp:revision>7</cp:revision>
  <dc:title>PROYECTO DE ORDENANZA VIOLENCIA FAMILIAR</dc:title>
</cp:coreProperties>
</file>