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756A550" Type="http://schemas.openxmlformats.org/officeDocument/2006/relationships/officeDocument" Target="/word/document.xml" /><Relationship Id="coreR6756A55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rPr>
          <w:rStyle w:val="C3"/>
        </w:rPr>
      </w:pPr>
    </w:p>
    <w:p>
      <w:pPr>
        <w:pStyle w:val="P4"/>
        <w:rPr>
          <w:rStyle w:val="C3"/>
        </w:rPr>
      </w:pPr>
    </w:p>
    <w:p>
      <w:pPr>
        <w:pStyle w:val="P4"/>
      </w:pPr>
      <w:r>
        <w:t>ORDENANZA Nº 8657</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predio que se denomina “CANTERA ALTA GRACIA” ubicado en la punta del ramal Río II - Alta Gracia de la ex Línea Mitre;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jc w:val="center"/>
      </w:pPr>
    </w:p>
    <w:p>
      <w:pPr>
        <w:jc w:val="center"/>
      </w:pPr>
    </w:p>
    <w:p>
      <w:pPr>
        <w:ind w:left="567"/>
        <w:jc w:val="both"/>
        <w:rPr>
          <w:rStyle w:val="C3"/>
          <w:rFonts w:ascii="Courier New" w:hAnsi="Courier New"/>
        </w:rPr>
      </w:pPr>
      <w:r>
        <w:rPr>
          <w:rStyle w:val="C3"/>
          <w:rFonts w:ascii="Courier New" w:hAnsi="Courier New"/>
        </w:rPr>
        <w:t>Que el predio denominado “CANTERA ALTA GRACIA” ubicado en la punta del ramal Río II - Alta Gracia de la ex línea Mitre ha sido destinado principalmente al uso exclusivo para el funcionamiento extracción y procesamiento de piedras de nuestros cerros;</w:t>
      </w:r>
    </w:p>
    <w:p>
      <w:pPr>
        <w:pStyle w:val="P20"/>
        <w:ind w:left="567"/>
        <w:rPr>
          <w:rStyle w:val="C3"/>
          <w:sz w:val="24"/>
        </w:rPr>
      </w:pPr>
    </w:p>
    <w:p>
      <w:pPr>
        <w:ind w:left="567"/>
        <w:jc w:val="both"/>
        <w:rPr>
          <w:rStyle w:val="C3"/>
          <w:rFonts w:ascii="Courier New" w:hAnsi="Courier New"/>
        </w:rPr>
      </w:pPr>
      <w:r>
        <w:rPr>
          <w:rStyle w:val="C3"/>
          <w:rFonts w:ascii="Courier New" w:hAnsi="Courier New"/>
        </w:rPr>
        <w:t>Que el Estado Nacional, desde hace varios años, ha</w:t>
      </w:r>
      <w:r>
        <w:rPr>
          <w:rStyle w:val="C3"/>
          <w:rFonts w:ascii="Courier New" w:hAnsi="Courier New"/>
          <w:color w:val="FF0000"/>
        </w:rPr>
        <w:t xml:space="preserve"> </w:t>
      </w:r>
      <w:r>
        <w:rPr>
          <w:rStyle w:val="C3"/>
          <w:rFonts w:ascii="Courier New" w:hAnsi="Courier New"/>
        </w:rPr>
        <w:t xml:space="preserve">abandonado el predio, exponiendo el lugar y los bienes que allí existían a la depredación; constatándose hoy, que el saqueo y la desidia han provocado la destrucción total de buena parte de los bienes que podríamos los Altagracienses proteger y revalorar. Todo allí se ha destruido con saña y desprecio y nada quedará si algo no se hiciera y pronto; </w:t>
      </w:r>
    </w:p>
    <w:p>
      <w:pPr>
        <w:pStyle w:val="P20"/>
        <w:ind w:left="567"/>
        <w:jc w:val="both"/>
        <w:rPr>
          <w:rStyle w:val="C3"/>
          <w:sz w:val="24"/>
        </w:rPr>
      </w:pPr>
    </w:p>
    <w:p>
      <w:pPr>
        <w:pStyle w:val="P20"/>
        <w:ind w:left="567"/>
        <w:jc w:val="both"/>
        <w:rPr>
          <w:rStyle w:val="C3"/>
          <w:sz w:val="24"/>
          <w:u w:val="single"/>
        </w:rPr>
      </w:pPr>
      <w:r>
        <w:rPr>
          <w:rStyle w:val="C3"/>
          <w:sz w:val="24"/>
        </w:rPr>
        <w:t xml:space="preserve">Que, la Ordenanza Nº 4368 de Protección de los Bienes Culturales y Naturales de la ciudad de Alta Gracia, establece las acciones de preservación de aquellos bienes considerados componentes del Patrimonio Cultural y Natural de la Ciudad y fijar los alcances del Estado Municipal sobre los bienes de propiedad pública o privada, situados dentro de la jurisdicción de la ciudad de Alta Gracia; </w:t>
      </w:r>
    </w:p>
    <w:p>
      <w:pPr>
        <w:pStyle w:val="P19"/>
        <w:ind w:left="567"/>
        <w:jc w:val="right"/>
        <w:rPr>
          <w:rStyle w:val="C3"/>
          <w:rFonts w:ascii="Courier New" w:hAnsi="Courier New"/>
        </w:rPr>
      </w:pPr>
      <w:r>
        <w:rPr>
          <w:rStyle w:val="C3"/>
          <w:rFonts w:ascii="Courier New" w:hAnsi="Courier New"/>
        </w:rPr>
        <w:t>...///</w:t>
      </w:r>
    </w:p>
    <w:p>
      <w:pPr>
        <w:pStyle w:val="P19"/>
        <w:ind w:left="567"/>
        <w:jc w:val="both"/>
        <w:rPr>
          <w:rStyle w:val="C3"/>
          <w:rFonts w:ascii="Courier New" w:hAnsi="Courier New"/>
        </w:rPr>
      </w:pPr>
    </w:p>
    <w:p>
      <w:pPr>
        <w:pStyle w:val="P19"/>
        <w:ind w:left="567"/>
        <w:jc w:val="both"/>
        <w:rPr>
          <w:rStyle w:val="C3"/>
          <w:rFonts w:ascii="Courier New" w:hAnsi="Courier New"/>
        </w:rPr>
      </w:pPr>
    </w:p>
    <w:p>
      <w:pPr>
        <w:pStyle w:val="P19"/>
        <w:ind w:left="567"/>
        <w:jc w:val="both"/>
        <w:rPr>
          <w:rStyle w:val="C3"/>
          <w:rFonts w:ascii="Courier New" w:hAnsi="Courier New"/>
        </w:rPr>
      </w:pPr>
    </w:p>
    <w:p>
      <w:pPr>
        <w:pStyle w:val="P19"/>
        <w:ind w:left="567"/>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9"/>
        <w:ind w:left="567"/>
        <w:jc w:val="both"/>
        <w:rPr>
          <w:rStyle w:val="C3"/>
          <w:rFonts w:ascii="Courier New" w:hAnsi="Courier New"/>
          <w:b w:val="1"/>
          <w:u w:val="single"/>
        </w:rPr>
      </w:pPr>
    </w:p>
    <w:p>
      <w:pPr>
        <w:pStyle w:val="P19"/>
        <w:jc w:val="both"/>
        <w:rPr>
          <w:rStyle w:val="C3"/>
          <w:rFonts w:ascii="Courier New" w:hAnsi="Courier New"/>
        </w:rPr>
      </w:pPr>
      <w:r>
        <w:rPr>
          <w:rStyle w:val="C3"/>
          <w:rFonts w:ascii="Courier New" w:hAnsi="Courier New"/>
        </w:rPr>
        <w:t>...///2.-</w:t>
      </w:r>
    </w:p>
    <w:p>
      <w:pPr>
        <w:pStyle w:val="P19"/>
        <w:ind w:left="567"/>
        <w:jc w:val="both"/>
        <w:rPr>
          <w:rStyle w:val="C3"/>
          <w:rFonts w:ascii="Courier New" w:hAnsi="Courier New"/>
        </w:rPr>
      </w:pPr>
      <w:r>
        <w:rPr>
          <w:rStyle w:val="C3"/>
          <w:rFonts w:ascii="Courier New" w:hAnsi="Courier New"/>
        </w:rPr>
        <w:t>Que la normativa se fundamenta en que la pérdida de la identidad de una comunidad se inicia con el desapego de los elementos que marcan su desarrollo y crecimiento. Además, existen valores irremplazables en la herencia cultural que deben preservarse de su extinción;</w:t>
      </w:r>
    </w:p>
    <w:p>
      <w:pPr>
        <w:ind w:left="567"/>
        <w:jc w:val="both"/>
        <w:rPr>
          <w:rStyle w:val="C3"/>
          <w:rFonts w:ascii="Courier New" w:hAnsi="Courier New"/>
        </w:rPr>
      </w:pPr>
      <w:r>
        <w:rPr>
          <w:rStyle w:val="C3"/>
          <w:rFonts w:ascii="Courier New" w:hAnsi="Courier New"/>
        </w:rPr>
        <w:t>Que el ferrocarril fue el medio más afectado por las políticas neoliberales llevadas a cabo en los noventas. Su devastación provocó que innumerables comunidades del interior del país queden condenadas a la desaparición y en otros casos quedaron los predios en estado de abandonado, produciendo la desvalorización urbanístico de esos sectores;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por ese motivo, el Estado Municipal dictó la Ordenanza Nº 5350 declarando de interés Municipal a todo el eje del ferrocarril que se encuentre comprendido dentro de la Jurisdicción de la Ciudad de Alta Gracia, junto a todos los bienes del mismo que se encuentren dentro y paralelos a él, cada uno de ellos con la categoría que corresponda. Determinando, únicamente, como característica de barrera ambiental, al segmento del eje que comienza en Ruta  Provincial  Nº 5 y  continúa  hacia  el  Este, hasta topar con la línea imaginaria que determina el fin de la Zona Industrial;</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la preservación del patrimonio ferroviario, como parte del patrimonio cultural de la Ciudad y de la memoria colectiva, permitirá recuperar un espacio de referencia histórico cultural e integrar un área urbana que se encuentra degradada, para desarrollar, a partir del patrimonio edificado y predios circundantes, nuevos eferentes y espacios públicos;</w:t>
      </w:r>
    </w:p>
    <w:p>
      <w:pPr>
        <w:ind w:left="567"/>
        <w:jc w:val="right"/>
        <w:rPr>
          <w:rStyle w:val="C3"/>
          <w:rFonts w:ascii="Courier New" w:hAnsi="Courier New"/>
        </w:rPr>
      </w:pPr>
      <w:r>
        <w:rPr>
          <w:rStyle w:val="C3"/>
          <w:rFonts w:ascii="Courier New" w:hAnsi="Courier New"/>
        </w:rPr>
        <w:t>...///</w:t>
      </w: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jc w:val="both"/>
        <w:rPr>
          <w:rStyle w:val="C3"/>
          <w:rFonts w:ascii="Courier New" w:hAnsi="Courier New"/>
        </w:rPr>
      </w:pPr>
      <w:r>
        <w:rPr>
          <w:rStyle w:val="C3"/>
          <w:rFonts w:ascii="Courier New" w:hAnsi="Courier New"/>
        </w:rPr>
        <w:t>...///3.-</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la recuperación del inmueble por parte del Estado Municipal se fundamenta en la política cultural, histórica y turística a desarrollar, principalmente a partir de la inclusión de la Estancia Jesuítica de Alta Gracia como Patrimonio de la Humanidad;</w:t>
      </w:r>
    </w:p>
    <w:p>
      <w:pPr>
        <w:jc w:val="both"/>
        <w:rPr>
          <w:rStyle w:val="C3"/>
          <w:rFonts w:ascii="Courier New" w:hAnsi="Courier New"/>
        </w:rPr>
      </w:pPr>
    </w:p>
    <w:p>
      <w:pPr>
        <w:ind w:left="567"/>
        <w:jc w:val="both"/>
        <w:rPr>
          <w:rStyle w:val="C3"/>
          <w:rFonts w:ascii="Courier New" w:hAnsi="Courier New"/>
        </w:rPr>
      </w:pPr>
      <w:r>
        <w:rPr>
          <w:rStyle w:val="C3"/>
          <w:rFonts w:ascii="Courier New" w:hAnsi="Courier New"/>
        </w:rPr>
        <w:t>Que se impone su preservación en defensa de un interés público general sobre un bien particular;</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analizado el Proyecto de Ordenanza de referencia por la totalidad de los Concejales presentes, se resuelve, por unanimidad, su aprobación en Sesión Ordinaria del día 16 de Junio de 2010.-</w:t>
      </w:r>
    </w:p>
    <w:p>
      <w:pPr>
        <w:pStyle w:val="P11"/>
        <w:rPr>
          <w:rStyle w:val="C3"/>
        </w:rPr>
      </w:pPr>
    </w:p>
    <w:p>
      <w:pPr>
        <w:tabs>
          <w:tab w:val="left" w:pos="3909" w:leader="none"/>
        </w:tabs>
        <w:ind w:left="567"/>
        <w:jc w:val="both"/>
        <w:rPr>
          <w:rStyle w:val="C3"/>
          <w:rFonts w:ascii="Courier New" w:hAnsi="Courier New"/>
        </w:rPr>
      </w:pPr>
      <w:r>
        <w:rPr>
          <w:rStyle w:val="C3"/>
          <w:rFonts w:ascii="Courier New" w:hAnsi="Courier New"/>
        </w:rPr>
        <w:t xml:space="preserve">   </w:t>
        <w:tab/>
      </w:r>
    </w:p>
    <w:p>
      <w:pPr>
        <w:tabs>
          <w:tab w:val="left" w:pos="3909" w:leader="none"/>
        </w:tabs>
        <w:ind w:left="567"/>
        <w:jc w:val="both"/>
        <w:rPr>
          <w:rStyle w:val="C3"/>
          <w:rFonts w:ascii="Courier New" w:hAnsi="Courier New"/>
        </w:rPr>
      </w:pPr>
    </w:p>
    <w:p>
      <w:pPr>
        <w:pStyle w:val="P11"/>
        <w:ind w:left="567"/>
        <w:rPr>
          <w:rStyle w:val="C3"/>
          <w:b w:val="1"/>
        </w:rPr>
      </w:pPr>
      <w:r>
        <w:t xml:space="preserve"> </w:t>
      </w:r>
      <w:r>
        <w:rPr>
          <w:rStyle w:val="C3"/>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1"/>
        <w:jc w:val="center"/>
        <w:rPr>
          <w:rStyle w:val="C3"/>
        </w:rPr>
      </w:pPr>
    </w:p>
    <w:p>
      <w:pPr>
        <w:pStyle w:val="P11"/>
        <w:jc w:val="center"/>
        <w:rPr>
          <w:rStyle w:val="C3"/>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DECLARAR</w:t>
      </w:r>
      <w:r>
        <w:rPr>
          <w:rStyle w:val="C3"/>
          <w:rFonts w:ascii="Courier New" w:hAnsi="Courier New"/>
        </w:rPr>
        <w:t xml:space="preserve"> de Interés Municipal con los alcances de la Ordenanza Nº 4368 de protección de los Bienes Culturales y Naturales de la ciudad de Alta Gracia, el predio que se denomina “CANTERA ALTA GRACIA” ubicado en la punta del ramal Río II - Alta Gracia de la ex Línea Mitre.-</w:t>
      </w:r>
    </w:p>
    <w:p>
      <w:pPr>
        <w:jc w:val="both"/>
        <w:rPr>
          <w:rStyle w:val="C3"/>
          <w:rFonts w:ascii="Courier New" w:hAnsi="Courier New"/>
          <w:u w:val="single"/>
        </w:rPr>
      </w:pPr>
    </w:p>
    <w:p>
      <w:pPr>
        <w:ind w:hanging="426" w:left="426"/>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caps w:val="1"/>
        </w:rPr>
        <w:t>Autorizar</w:t>
      </w:r>
      <w:r>
        <w:rPr>
          <w:rStyle w:val="C3"/>
          <w:rFonts w:ascii="Courier New" w:hAnsi="Courier New"/>
        </w:rPr>
        <w:t xml:space="preserve"> al Departamento Ejecutivo a realizar todas la acciones inherentes a los fines de lograr la incorporación al dominio municipal de todas las propiedades pertenecientes al Estado Nacional y que hayan sido utilizadas por el Ex Ferrocarril Mitre comprendidas en  el ejido municipal actual y futuro como así también las medidas pertinentes para su efectiva preservación.- </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jc w:val="left"/>
        <w:rPr>
          <w:rStyle w:val="C3"/>
          <w:b w:val="1"/>
          <w:u w:val="none"/>
        </w:rPr>
      </w:pPr>
    </w:p>
    <w:p>
      <w:pPr>
        <w:pStyle w:val="P4"/>
        <w:jc w:val="left"/>
        <w:rPr>
          <w:rStyle w:val="C3"/>
          <w:b w:val="1"/>
          <w:u w:val="none"/>
        </w:rPr>
      </w:pPr>
      <w:r>
        <w:rPr>
          <w:rStyle w:val="C3"/>
          <w:b w:val="0"/>
          <w:u w:val="none"/>
        </w:rPr>
        <w:t>...///</w:t>
      </w:r>
      <w:r>
        <w:rPr>
          <w:rStyle w:val="C3"/>
          <w:b w:val="0"/>
          <w:u w:val="none"/>
        </w:rPr>
        <w:t>4</w:t>
      </w:r>
      <w:r>
        <w:rPr>
          <w:rStyle w:val="C3"/>
          <w:b w:val="0"/>
          <w:u w:val="none"/>
        </w:rPr>
        <w:t>.-</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DIECISEIS DÍAS DEL MES DE JUNIO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57842871">
      <w:start w:val="0"/>
      <w:numFmt w:val="bullet"/>
      <w:suff w:val="tab"/>
      <w:lvlText w:val=""/>
      <w:lvlJc w:val="left"/>
      <w:pPr>
        <w:ind w:hanging="360" w:left="927"/>
      </w:pPr>
      <w:rPr>
        <w:rFonts w:ascii="Symbol" w:hAnsi="Symbol"/>
      </w:rPr>
    </w:lvl>
    <w:lvl w:ilvl="1" w:tplc="7930DD1A">
      <w:start w:val="1"/>
      <w:numFmt w:val="bullet"/>
      <w:suff w:val="tab"/>
      <w:lvlText w:val="o"/>
      <w:lvlJc w:val="left"/>
      <w:pPr>
        <w:ind w:hanging="360" w:left="1647"/>
      </w:pPr>
      <w:rPr>
        <w:rFonts w:ascii="Courier New" w:hAnsi="Courier New"/>
      </w:rPr>
    </w:lvl>
    <w:lvl w:ilvl="2" w:tplc="12EF48F1">
      <w:start w:val="1"/>
      <w:numFmt w:val="bullet"/>
      <w:suff w:val="tab"/>
      <w:lvlText w:val=""/>
      <w:lvlJc w:val="left"/>
      <w:pPr>
        <w:ind w:hanging="360" w:left="2367"/>
      </w:pPr>
      <w:rPr>
        <w:rFonts w:ascii="Wingdings" w:hAnsi="Wingdings"/>
      </w:rPr>
    </w:lvl>
    <w:lvl w:ilvl="3" w:tplc="64460EFC">
      <w:start w:val="1"/>
      <w:numFmt w:val="bullet"/>
      <w:suff w:val="tab"/>
      <w:lvlText w:val=""/>
      <w:lvlJc w:val="left"/>
      <w:pPr>
        <w:ind w:hanging="360" w:left="3087"/>
      </w:pPr>
      <w:rPr>
        <w:rFonts w:ascii="Symbol" w:hAnsi="Symbol"/>
      </w:rPr>
    </w:lvl>
    <w:lvl w:ilvl="4" w:tplc="10B04CE5">
      <w:start w:val="1"/>
      <w:numFmt w:val="bullet"/>
      <w:suff w:val="tab"/>
      <w:lvlText w:val="o"/>
      <w:lvlJc w:val="left"/>
      <w:pPr>
        <w:ind w:hanging="360" w:left="3807"/>
      </w:pPr>
      <w:rPr>
        <w:rFonts w:ascii="Courier New" w:hAnsi="Courier New"/>
      </w:rPr>
    </w:lvl>
    <w:lvl w:ilvl="5" w:tplc="57767E55">
      <w:start w:val="1"/>
      <w:numFmt w:val="bullet"/>
      <w:suff w:val="tab"/>
      <w:lvlText w:val=""/>
      <w:lvlJc w:val="left"/>
      <w:pPr>
        <w:ind w:hanging="360" w:left="4527"/>
      </w:pPr>
      <w:rPr>
        <w:rFonts w:ascii="Wingdings" w:hAnsi="Wingdings"/>
      </w:rPr>
    </w:lvl>
    <w:lvl w:ilvl="6" w:tplc="50091FA8">
      <w:start w:val="1"/>
      <w:numFmt w:val="bullet"/>
      <w:suff w:val="tab"/>
      <w:lvlText w:val=""/>
      <w:lvlJc w:val="left"/>
      <w:pPr>
        <w:ind w:hanging="360" w:left="5247"/>
      </w:pPr>
      <w:rPr>
        <w:rFonts w:ascii="Symbol" w:hAnsi="Symbol"/>
      </w:rPr>
    </w:lvl>
    <w:lvl w:ilvl="7" w:tplc="47451A52">
      <w:start w:val="1"/>
      <w:numFmt w:val="bullet"/>
      <w:suff w:val="tab"/>
      <w:lvlText w:val="o"/>
      <w:lvlJc w:val="left"/>
      <w:pPr>
        <w:ind w:hanging="360" w:left="5967"/>
      </w:pPr>
      <w:rPr>
        <w:rFonts w:ascii="Courier New" w:hAnsi="Courier New"/>
      </w:rPr>
    </w:lvl>
    <w:lvl w:ilvl="8" w:tplc="0B9DFE23">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7">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7"/>
  </w:num>
  <w:num w:numId="2">
    <w:abstractNumId w:val="4"/>
  </w:num>
  <w:num w:numId="3">
    <w:abstractNumId w:val="5"/>
  </w:num>
  <w:num w:numId="4">
    <w:abstractNumId w:val="9"/>
  </w:num>
  <w:num w:numId="5">
    <w:abstractNumId w:val="10"/>
  </w:num>
  <w:num w:numId="6">
    <w:abstractNumId w:val="2"/>
  </w:num>
  <w:num w:numId="7">
    <w:abstractNumId w:val="8"/>
  </w:num>
  <w:num w:numId="8">
    <w:abstractNumId w:val="0"/>
  </w:num>
  <w:num w:numId="9">
    <w:abstractNumId w:val="1"/>
  </w:num>
  <w:num w:numId="10">
    <w:abstractNumId w:val="3"/>
  </w:num>
  <w:num w:numId="11">
    <w:abstractNumId w:val="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Texto independiente primera sangría"/>
    <w:basedOn w:val="P11"/>
    <w:next w:val="P29"/>
    <w:link w:val="C9"/>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Texto independiente primera sangría Car"/>
    <w:basedOn w:val="C5"/>
    <w:link w:val="P29"/>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2010-06-28T11:51:00Z</dcterms:created>
  <cp:lastModifiedBy>Ethan Puglia</cp:lastModifiedBy>
  <cp:lastPrinted>2010-06-25T10:19:00Z</cp:lastPrinted>
  <dcterms:modified xsi:type="dcterms:W3CDTF">2019-03-28T17:34:22Z</dcterms:modified>
  <cp:revision>9</cp:revision>
  <dc:title>PROYECTO DE ORDENANZA VIOLENCIA FAMILIAR</dc:title>
</cp:coreProperties>
</file>