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33CC6A3" Type="http://schemas.openxmlformats.org/officeDocument/2006/relationships/officeDocument" Target="/word/document.xml" /><Relationship Id="coreR133CC6A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8659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N° 8017 y 8361;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jc w:val="center"/>
      </w:pPr>
    </w:p>
    <w:p>
      <w:pPr>
        <w:jc w:val="center"/>
      </w:pPr>
    </w:p>
    <w:p>
      <w:pPr>
        <w:pStyle w:val="P7"/>
        <w:ind w:left="567"/>
        <w:jc w:val="both"/>
        <w:rPr>
          <w:rStyle w:val="C3"/>
          <w:b w:val="1"/>
          <w:sz w:val="24"/>
        </w:rPr>
      </w:pPr>
      <w:r>
        <w:rPr>
          <w:rStyle w:val="C3"/>
          <w:b w:val="0"/>
          <w:sz w:val="24"/>
        </w:rPr>
        <w:t>Que la Ordenanza N° 8017, establece un plan especial de cancelación de los importes adeudados en concepto de los diferentes tributos;</w:t>
      </w:r>
    </w:p>
    <w:p>
      <w:pPr>
        <w:pStyle w:val="P7"/>
        <w:ind w:left="567"/>
        <w:jc w:val="both"/>
        <w:rPr>
          <w:rStyle w:val="C3"/>
          <w:b w:val="1"/>
          <w:sz w:val="24"/>
        </w:rPr>
      </w:pPr>
    </w:p>
    <w:p>
      <w:pPr>
        <w:pStyle w:val="P7"/>
        <w:ind w:left="567"/>
        <w:jc w:val="both"/>
        <w:rPr>
          <w:rStyle w:val="C3"/>
          <w:b w:val="1"/>
          <w:sz w:val="24"/>
        </w:rPr>
      </w:pPr>
      <w:r>
        <w:rPr>
          <w:rStyle w:val="C3"/>
          <w:b w:val="0"/>
          <w:sz w:val="24"/>
        </w:rPr>
        <w:t xml:space="preserve">Que, resulta necesario ampliar los porcentajes de quita de los intereses para que tenga una mayor aceptación para el pago de las deudas por un término de </w:t>
      </w:r>
      <w:r>
        <w:rPr>
          <w:rStyle w:val="C3"/>
          <w:b w:val="0"/>
          <w:sz w:val="24"/>
        </w:rPr>
        <w:t xml:space="preserve">SESENTA </w:t>
      </w:r>
      <w:r>
        <w:rPr>
          <w:rStyle w:val="C3"/>
          <w:b w:val="0"/>
          <w:sz w:val="24"/>
        </w:rPr>
        <w:t>(</w:t>
      </w:r>
      <w:r>
        <w:rPr>
          <w:rStyle w:val="C3"/>
          <w:b w:val="0"/>
          <w:sz w:val="24"/>
        </w:rPr>
        <w:t>60</w:t>
      </w:r>
      <w:r>
        <w:rPr>
          <w:rStyle w:val="C3"/>
          <w:b w:val="0"/>
          <w:sz w:val="24"/>
        </w:rPr>
        <w:t>)</w:t>
      </w:r>
      <w:r>
        <w:rPr>
          <w:rStyle w:val="C3"/>
          <w:b w:val="0"/>
          <w:sz w:val="24"/>
        </w:rPr>
        <w:t xml:space="preserve"> días con opción de prórroga de hasta </w:t>
      </w:r>
      <w:r>
        <w:rPr>
          <w:rStyle w:val="C3"/>
          <w:b w:val="0"/>
          <w:sz w:val="24"/>
        </w:rPr>
        <w:t>SESENTA (</w:t>
      </w:r>
      <w:r>
        <w:rPr>
          <w:rStyle w:val="C3"/>
          <w:b w:val="0"/>
          <w:sz w:val="24"/>
        </w:rPr>
        <w:t>60</w:t>
      </w:r>
      <w:r>
        <w:rPr>
          <w:rStyle w:val="C3"/>
          <w:b w:val="0"/>
          <w:sz w:val="24"/>
        </w:rPr>
        <w:t>)</w:t>
      </w:r>
      <w:r>
        <w:rPr>
          <w:rStyle w:val="C3"/>
          <w:b w:val="0"/>
          <w:sz w:val="24"/>
        </w:rPr>
        <w:t xml:space="preserve"> días si el Departamento Ejecutivo lo considera conveniente;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pStyle w:val="P7"/>
        <w:ind w:left="567"/>
        <w:jc w:val="both"/>
        <w:rPr>
          <w:rStyle w:val="C3"/>
          <w:b w:val="1"/>
          <w:sz w:val="24"/>
        </w:rPr>
      </w:pPr>
      <w:r>
        <w:rPr>
          <w:rStyle w:val="C3"/>
          <w:b w:val="0"/>
          <w:sz w:val="24"/>
        </w:rPr>
        <w:t>Que es necesario ampliar la cantidad de cuotas de los planes de pago ya que no son contemplados por las Ordenanzas especiales y que no se ajustan a los requisitos solicitados por las mismas;</w:t>
      </w:r>
    </w:p>
    <w:p>
      <w:pPr>
        <w:pStyle w:val="P7"/>
        <w:ind w:left="567"/>
        <w:jc w:val="both"/>
        <w:rPr>
          <w:rStyle w:val="C3"/>
          <w:b w:val="1"/>
          <w:sz w:val="24"/>
        </w:rPr>
      </w:pPr>
    </w:p>
    <w:p>
      <w:pPr>
        <w:pStyle w:val="P7"/>
        <w:ind w:left="567"/>
        <w:jc w:val="both"/>
        <w:rPr>
          <w:rStyle w:val="C3"/>
          <w:b w:val="1"/>
          <w:sz w:val="24"/>
        </w:rPr>
      </w:pPr>
      <w:r>
        <w:rPr>
          <w:rStyle w:val="C3"/>
          <w:b w:val="0"/>
          <w:sz w:val="24"/>
        </w:rPr>
        <w:t>Que resulta necesario suspender las ordenanzas vigentes que normen sobre planes de pago por el término que rija la presente;</w:t>
      </w:r>
    </w:p>
    <w:p>
      <w:pPr>
        <w:rPr>
          <w:rStyle w:val="C3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totalidad de los Concejales presentes, se aprueba por unanimidad, en Sesión Ordinaria del día 16 de Junio de 2010.-</w:t>
      </w:r>
    </w:p>
    <w:p>
      <w:pPr>
        <w:pStyle w:val="P11"/>
        <w:rPr>
          <w:rStyle w:val="C3"/>
        </w:rPr>
      </w:pPr>
    </w:p>
    <w:p>
      <w:pPr>
        <w:rPr>
          <w:rStyle w:val="C3"/>
        </w:rPr>
      </w:pPr>
    </w:p>
    <w:p>
      <w:pPr>
        <w:pStyle w:val="P19"/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19"/>
        <w:ind w:left="567"/>
        <w:jc w:val="both"/>
        <w:rPr>
          <w:rStyle w:val="C3"/>
          <w:rFonts w:ascii="Courier New" w:hAnsi="Courier New"/>
        </w:rPr>
      </w:pPr>
    </w:p>
    <w:p>
      <w:pPr>
        <w:pStyle w:val="P19"/>
        <w:ind w:left="567"/>
        <w:jc w:val="both"/>
        <w:rPr>
          <w:rStyle w:val="C3"/>
          <w:rFonts w:ascii="Courier New" w:hAnsi="Courier New"/>
        </w:rPr>
      </w:pPr>
    </w:p>
    <w:p>
      <w:pPr>
        <w:pStyle w:val="P19"/>
        <w:ind w:left="567"/>
        <w:jc w:val="both"/>
        <w:rPr>
          <w:rStyle w:val="C3"/>
          <w:rFonts w:ascii="Courier New" w:hAnsi="Courier New"/>
        </w:rPr>
      </w:pPr>
    </w:p>
    <w:p>
      <w:pPr>
        <w:pStyle w:val="P19"/>
        <w:ind w:left="567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i w:val="1"/>
          <w:sz w:val="24"/>
        </w:rPr>
      </w:pPr>
      <w:r>
        <w:rPr>
          <w:rStyle w:val="C3"/>
          <w:rFonts w:ascii="JaneAusten" w:hAnsi="JaneAusten"/>
          <w:b w:val="0"/>
          <w:i w:val="1"/>
          <w:sz w:val="24"/>
        </w:rPr>
        <w:t>“2010 Año del Bicentenario de la Revolución de Mayo”</w:t>
      </w:r>
    </w:p>
    <w:p>
      <w:pPr>
        <w:pStyle w:val="P19"/>
        <w:ind w:left="567"/>
        <w:jc w:val="both"/>
        <w:rPr>
          <w:rStyle w:val="C3"/>
          <w:rFonts w:ascii="Courier New" w:hAnsi="Courier New"/>
          <w:b w:val="1"/>
          <w:i w:val="1"/>
          <w:u w:val="single"/>
        </w:rPr>
      </w:pPr>
    </w:p>
    <w:p>
      <w:pPr>
        <w:pStyle w:val="P1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tabs>
          <w:tab w:val="left" w:pos="3909" w:leader="none"/>
        </w:tabs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11"/>
        <w:ind w:left="567"/>
        <w:rPr>
          <w:rStyle w:val="C3"/>
          <w:b w:val="1"/>
        </w:rPr>
      </w:pPr>
      <w:r>
        <w:t xml:space="preserve"> </w:t>
      </w: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1"/>
        <w:jc w:val="center"/>
        <w:rPr>
          <w:rStyle w:val="C3"/>
        </w:rPr>
      </w:pPr>
    </w:p>
    <w:p>
      <w:pPr>
        <w:pStyle w:val="P11"/>
        <w:jc w:val="center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2"/>
        <w:ind w:hanging="426" w:left="426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LOS</w:t>
      </w:r>
      <w:r>
        <w:t xml:space="preserve"> contribuyentes y/o responsables que adeuden al Estado Municipal montos por: Tasa por Servicios a la Propiedad, Tasa por Servicios de Inspección General e Higiene, Tasa por Servicios de Administración y Mantenimiento de los Cementerios, Contribuciones que inciden sobre los Automotores y Contribuciones por Mejoras, podrán acceder al plan de facilidades de pago que se establece en la presente Ordenanza. </w:t>
      </w:r>
    </w:p>
    <w:p>
      <w:pPr>
        <w:tabs>
          <w:tab w:val="left" w:pos="0" w:leader="none"/>
        </w:tabs>
        <w:jc w:val="center"/>
        <w:rPr>
          <w:rStyle w:val="C3"/>
          <w:rFonts w:ascii="Courier New" w:hAnsi="Courier New"/>
        </w:rPr>
      </w:pPr>
    </w:p>
    <w:p>
      <w:pPr>
        <w:pStyle w:val="P12"/>
        <w:ind w:hanging="426" w:left="426"/>
      </w:pPr>
      <w:r>
        <w:rPr>
          <w:rStyle w:val="C3"/>
          <w:b w:val="1"/>
          <w:u w:val="single"/>
        </w:rPr>
        <w:t>A</w:t>
      </w:r>
      <w:r>
        <w:rPr>
          <w:rStyle w:val="C3"/>
          <w:b w:val="1"/>
          <w:u w:val="single"/>
        </w:rPr>
        <w:t>rt</w:t>
      </w:r>
      <w:r>
        <w:rPr>
          <w:rStyle w:val="C3"/>
          <w:b w:val="1"/>
          <w:u w:val="single"/>
        </w:rPr>
        <w:t>.2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EL</w:t>
      </w:r>
      <w:r>
        <w:t xml:space="preserve"> plan de pago de las obligaciones regularizadas podrá realizarse de acuerdo al siguiente detalle, con más los recargos resarcitorios calculados hasta el día del acogimiento:</w:t>
      </w:r>
    </w:p>
    <w:p>
      <w:pPr>
        <w:pStyle w:val="P12"/>
      </w:pPr>
    </w:p>
    <w:p>
      <w:pPr>
        <w:pStyle w:val="P12"/>
        <w:ind w:hanging="993" w:left="993"/>
      </w:pPr>
      <w:r>
        <w:t xml:space="preserve">   a) </w:t>
      </w:r>
      <w:r>
        <w:rPr>
          <w:rStyle w:val="C3"/>
          <w:u w:val="single"/>
        </w:rPr>
        <w:t>CONTADO</w:t>
      </w:r>
      <w:r>
        <w:t xml:space="preserve">: En un solo pago con descuento del  OCHENTA POR CIENTO (80%) sobre los intereses devengados al 31 de Diciembre de 2009 con más los intereses hasta el momento del efectivo pago.</w:t>
      </w:r>
    </w:p>
    <w:p>
      <w:pPr>
        <w:pStyle w:val="P12"/>
        <w:ind w:firstLine="426" w:left="0"/>
      </w:pPr>
    </w:p>
    <w:p>
      <w:pPr>
        <w:pStyle w:val="P12"/>
        <w:ind w:firstLine="426" w:left="0"/>
      </w:pPr>
      <w:r>
        <w:t xml:space="preserve"> b) </w:t>
      </w:r>
      <w:r>
        <w:rPr>
          <w:rStyle w:val="C3"/>
          <w:u w:val="single"/>
        </w:rPr>
        <w:t>EN CUOTAS</w:t>
      </w:r>
      <w:r>
        <w:t>:</w:t>
      </w:r>
    </w:p>
    <w:p>
      <w:pPr>
        <w:pStyle w:val="P12"/>
      </w:pPr>
      <w:r>
        <w:t xml:space="preserve">       </w:t>
      </w:r>
    </w:p>
    <w:p>
      <w:pPr>
        <w:pStyle w:val="P12"/>
        <w:numPr>
          <w:ilvl w:val="0"/>
          <w:numId w:val="13"/>
        </w:numPr>
      </w:pPr>
      <w:r>
        <w:t xml:space="preserve">ANTICIPO: Para acceder al plan de pago en cuotas deberá abonar un anticipo igual al CINCO POR CIENTO  (5%) del monto neto de la deuda con más los intereses al momento del acogimiento. Dicho anticipo en ningún caso podrá ser inferior a PESOS SETENTA Y CINCO ($ 75,00).-</w:t>
      </w:r>
    </w:p>
    <w:p>
      <w:pPr>
        <w:pStyle w:val="P12"/>
        <w:jc w:val="right"/>
      </w:pPr>
      <w:r>
        <w:t>...///</w:t>
      </w:r>
    </w:p>
    <w:p>
      <w:pPr>
        <w:pStyle w:val="P12"/>
      </w:pPr>
    </w:p>
    <w:p>
      <w:pPr>
        <w:pStyle w:val="P12"/>
      </w:pPr>
    </w:p>
    <w:p>
      <w:pPr>
        <w:pStyle w:val="P12"/>
      </w:pPr>
    </w:p>
    <w:p>
      <w:pPr>
        <w:pStyle w:val="P12"/>
      </w:pPr>
    </w:p>
    <w:p>
      <w:pPr>
        <w:pStyle w:val="P12"/>
      </w:pPr>
    </w:p>
    <w:p>
      <w:pPr>
        <w:pStyle w:val="P12"/>
      </w:pPr>
    </w:p>
    <w:p>
      <w:pPr>
        <w:pStyle w:val="P12"/>
      </w:pPr>
    </w:p>
    <w:p>
      <w:pPr>
        <w:pStyle w:val="P12"/>
      </w:pPr>
    </w:p>
    <w:p>
      <w:pPr>
        <w:pStyle w:val="P12"/>
      </w:pPr>
    </w:p>
    <w:p>
      <w:pPr>
        <w:pStyle w:val="P16"/>
        <w:ind w:left="113"/>
        <w:jc w:val="center"/>
        <w:rPr>
          <w:rStyle w:val="C3"/>
          <w:b w:val="1"/>
          <w:i w:val="1"/>
          <w:sz w:val="24"/>
        </w:rPr>
      </w:pPr>
      <w:r>
        <w:rPr>
          <w:rStyle w:val="C3"/>
          <w:rFonts w:ascii="JaneAusten" w:hAnsi="JaneAusten"/>
          <w:b w:val="0"/>
          <w:i w:val="1"/>
          <w:sz w:val="24"/>
        </w:rPr>
        <w:t>“2010 Año del Bicentenario de la Revolución de Mayo”</w:t>
      </w:r>
    </w:p>
    <w:p>
      <w:pPr>
        <w:pStyle w:val="P19"/>
        <w:ind w:left="567"/>
        <w:jc w:val="both"/>
        <w:rPr>
          <w:rStyle w:val="C3"/>
          <w:rFonts w:ascii="Courier New" w:hAnsi="Courier New"/>
          <w:b w:val="1"/>
          <w:i w:val="1"/>
          <w:u w:val="single"/>
        </w:rPr>
      </w:pPr>
    </w:p>
    <w:p>
      <w:pPr>
        <w:pStyle w:val="P1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pStyle w:val="P12"/>
        <w:rPr>
          <w:rStyle w:val="C3"/>
        </w:rPr>
      </w:pPr>
    </w:p>
    <w:p>
      <w:pPr>
        <w:pStyle w:val="P12"/>
        <w:numPr>
          <w:ilvl w:val="0"/>
          <w:numId w:val="13"/>
        </w:numPr>
      </w:pPr>
      <w:r>
        <w:t xml:space="preserve">CUOTA: El importe de cada cuota en los planes de pago no podrá ser inferior a: </w:t>
      </w:r>
    </w:p>
    <w:p>
      <w:pPr>
        <w:pStyle w:val="P12"/>
        <w:ind w:left="1393"/>
      </w:pPr>
    </w:p>
    <w:p>
      <w:pPr>
        <w:pStyle w:val="P12"/>
        <w:ind w:left="1418"/>
      </w:pPr>
      <w:r>
        <w:t>I) Hasta 12 cuotas, pesos SETENTA Y CINCO ($75,00)</w:t>
      </w:r>
    </w:p>
    <w:p>
      <w:pPr>
        <w:pStyle w:val="P12"/>
        <w:ind w:left="1418"/>
      </w:pPr>
      <w:r>
        <w:t>II) Más de 12 cuotas, PESOS CINCUENTA ($ 50,00)</w:t>
      </w:r>
    </w:p>
    <w:p>
      <w:pPr>
        <w:pStyle w:val="P12"/>
        <w:ind w:left="1418"/>
      </w:pPr>
      <w:r>
        <w:t xml:space="preserve">                </w:t>
      </w:r>
    </w:p>
    <w:p>
      <w:pPr>
        <w:pStyle w:val="P12"/>
        <w:ind w:left="1418"/>
      </w:pPr>
      <w:r>
        <w:t>3- CANTIDAD DE CUOTAS Y DESCUENTOS: la cantidad de cuotas y descuentos a realizar sobre los intereses serán:</w:t>
      </w:r>
    </w:p>
    <w:p>
      <w:pPr>
        <w:pStyle w:val="P12"/>
        <w:ind w:left="1418"/>
      </w:pPr>
      <w:r>
        <w:t xml:space="preserve">        </w:t>
      </w:r>
    </w:p>
    <w:p>
      <w:pPr>
        <w:pStyle w:val="P12"/>
        <w:numPr>
          <w:ilvl w:val="0"/>
          <w:numId w:val="16"/>
        </w:numPr>
        <w:tabs>
          <w:tab w:val="left" w:pos="709" w:leader="none"/>
        </w:tabs>
        <w:ind w:hanging="432" w:left="2127"/>
      </w:pPr>
      <w:r>
        <w:t>Hasta 3 cuotas, SESENTA POR CIENTO (60%) de descuento.</w:t>
      </w:r>
    </w:p>
    <w:p>
      <w:pPr>
        <w:pStyle w:val="P12"/>
        <w:tabs>
          <w:tab w:val="left" w:pos="1134" w:leader="none"/>
          <w:tab w:val="left" w:pos="1985" w:leader="none"/>
        </w:tabs>
        <w:ind w:hanging="709" w:left="2127"/>
      </w:pPr>
      <w:r>
        <w:t xml:space="preserve"> II) Hasta 6 cuotas, CUARENTA POR CIENTO  (40%) de descuento.</w:t>
      </w:r>
    </w:p>
    <w:p>
      <w:pPr>
        <w:pStyle w:val="P12"/>
        <w:numPr>
          <w:ilvl w:val="0"/>
          <w:numId w:val="14"/>
        </w:numPr>
        <w:tabs>
          <w:tab w:val="left" w:pos="993" w:leader="none"/>
        </w:tabs>
      </w:pPr>
      <w:r>
        <w:t>Hasta 12 cuotas, VEINTE POR CIENTO (20%) de descuento.</w:t>
      </w:r>
    </w:p>
    <w:p>
      <w:pPr>
        <w:pStyle w:val="P12"/>
        <w:numPr>
          <w:ilvl w:val="0"/>
          <w:numId w:val="15"/>
        </w:numPr>
        <w:tabs>
          <w:tab w:val="left" w:pos="993" w:leader="none"/>
        </w:tabs>
        <w:ind w:hanging="578"/>
      </w:pPr>
      <w:r>
        <w:t xml:space="preserve">Más de 12 cuotas y hasta 60 cuotas, CERO POR CIENTO (0%) de descuento.  </w:t>
      </w:r>
    </w:p>
    <w:p>
      <w:pPr>
        <w:pStyle w:val="P12"/>
        <w:tabs>
          <w:tab w:val="left" w:pos="993" w:leader="none"/>
        </w:tabs>
        <w:ind w:left="1418"/>
      </w:pPr>
      <w:r>
        <w:t xml:space="preserve">          </w:t>
      </w:r>
    </w:p>
    <w:p>
      <w:pPr>
        <w:pStyle w:val="P12"/>
        <w:ind w:left="1418"/>
      </w:pPr>
      <w:r>
        <w:t>En todos los casos los descuentos se realizarán sobre los intereses devengados al 31/12/2009 con más los intereses calculados hasta el momento del acogimiento.-</w:t>
      </w:r>
    </w:p>
    <w:p>
      <w:pPr>
        <w:pStyle w:val="P12"/>
      </w:pPr>
      <w:r>
        <w:t xml:space="preserve">               </w:t>
      </w:r>
    </w:p>
    <w:p>
      <w:pPr>
        <w:pStyle w:val="P12"/>
        <w:ind w:hanging="283" w:left="1276"/>
      </w:pPr>
      <w:r>
        <w:t>4- INTERÉS: El interés de financiación en los planes de pagos de más de SEIS (6) cuotas será del CERO COMA CINCO POR CIENTO (0,5%) mensual.-</w:t>
      </w:r>
    </w:p>
    <w:p>
      <w:pPr>
        <w:pStyle w:val="P12"/>
      </w:pPr>
    </w:p>
    <w:p>
      <w:pPr>
        <w:pStyle w:val="P12"/>
        <w:ind w:hanging="567" w:left="567"/>
      </w:pPr>
      <w:r>
        <w:rPr>
          <w:rStyle w:val="C3"/>
          <w:b w:val="1"/>
          <w:u w:val="single"/>
        </w:rPr>
        <w:t>A</w:t>
      </w:r>
      <w:r>
        <w:rPr>
          <w:rStyle w:val="C3"/>
          <w:b w:val="1"/>
          <w:u w:val="single"/>
        </w:rPr>
        <w:t>rt</w:t>
      </w:r>
      <w:r>
        <w:rPr>
          <w:rStyle w:val="C3"/>
          <w:b w:val="1"/>
          <w:u w:val="single"/>
        </w:rPr>
        <w:t>.3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EL</w:t>
      </w:r>
      <w:r>
        <w:t xml:space="preserve"> presente plan de pagos tendrá una vigencia de SESENTA (60) días a partir de la fecha de promulgación de la presente, con opción de prórroga de hasta SESENTA DIAS (60) días si el Departamento Ejecutivo lo considera necesario.-</w:t>
      </w:r>
    </w:p>
    <w:p>
      <w:pPr>
        <w:pStyle w:val="P12"/>
        <w:jc w:val="right"/>
      </w:pPr>
      <w:r>
        <w:t>...///</w:t>
      </w:r>
    </w:p>
    <w:p>
      <w:pPr>
        <w:pStyle w:val="P12"/>
      </w:pPr>
    </w:p>
    <w:p>
      <w:pPr>
        <w:pStyle w:val="P12"/>
      </w:pPr>
    </w:p>
    <w:p>
      <w:pPr>
        <w:pStyle w:val="P12"/>
      </w:pPr>
    </w:p>
    <w:p>
      <w:pPr>
        <w:pStyle w:val="P12"/>
      </w:pPr>
    </w:p>
    <w:p>
      <w:pPr>
        <w:pStyle w:val="P12"/>
      </w:pPr>
    </w:p>
    <w:p>
      <w:pPr>
        <w:pStyle w:val="P12"/>
      </w:pPr>
    </w:p>
    <w:p>
      <w:pPr>
        <w:pStyle w:val="P12"/>
      </w:pPr>
    </w:p>
    <w:p>
      <w:pPr>
        <w:pStyle w:val="P12"/>
      </w:pPr>
    </w:p>
    <w:p>
      <w:pPr>
        <w:pStyle w:val="P12"/>
      </w:pPr>
    </w:p>
    <w:p>
      <w:pPr>
        <w:pStyle w:val="P12"/>
      </w:pPr>
    </w:p>
    <w:p>
      <w:pPr>
        <w:pStyle w:val="P16"/>
        <w:ind w:left="113"/>
        <w:jc w:val="center"/>
        <w:rPr>
          <w:rStyle w:val="C3"/>
          <w:b w:val="1"/>
          <w:i w:val="1"/>
          <w:sz w:val="24"/>
        </w:rPr>
      </w:pPr>
      <w:r>
        <w:rPr>
          <w:rStyle w:val="C3"/>
          <w:rFonts w:ascii="JaneAusten" w:hAnsi="JaneAusten"/>
          <w:b w:val="0"/>
          <w:i w:val="1"/>
          <w:sz w:val="24"/>
        </w:rPr>
        <w:t>“2010 Año del Bicentenario de la Revolución de Mayo”</w:t>
      </w:r>
    </w:p>
    <w:p>
      <w:pPr>
        <w:pStyle w:val="P19"/>
        <w:ind w:left="567"/>
        <w:jc w:val="both"/>
        <w:rPr>
          <w:rStyle w:val="C3"/>
          <w:rFonts w:ascii="Courier New" w:hAnsi="Courier New"/>
          <w:b w:val="1"/>
          <w:i w:val="1"/>
          <w:u w:val="single"/>
        </w:rPr>
      </w:pPr>
    </w:p>
    <w:p>
      <w:pPr>
        <w:pStyle w:val="P1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...///4.-</w:t>
      </w:r>
    </w:p>
    <w:p>
      <w:pPr>
        <w:pStyle w:val="P12"/>
        <w:ind w:left="0"/>
        <w:rPr>
          <w:rStyle w:val="C3"/>
        </w:rPr>
      </w:pPr>
    </w:p>
    <w:p>
      <w:pPr>
        <w:pStyle w:val="P12"/>
        <w:ind w:hanging="426" w:left="426"/>
      </w:pPr>
      <w:r>
        <w:rPr>
          <w:rStyle w:val="C3"/>
          <w:b w:val="1"/>
          <w:u w:val="single"/>
        </w:rPr>
        <w:t>A</w:t>
      </w:r>
      <w:r>
        <w:rPr>
          <w:rStyle w:val="C3"/>
          <w:b w:val="1"/>
          <w:u w:val="single"/>
        </w:rPr>
        <w:t>rt</w:t>
      </w:r>
      <w:r>
        <w:rPr>
          <w:rStyle w:val="C3"/>
          <w:b w:val="1"/>
          <w:u w:val="single"/>
        </w:rPr>
        <w:t>.4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EL</w:t>
      </w:r>
      <w:r>
        <w:t xml:space="preserve"> plan de pago concedido por la presente norma caducará de pleno derecho sin mediar intermediación alguna, renaciendo todas las obligaciones del contribuyente cuando se registren impagas DOS (2) cuotas consecutivas o TRES (3) alternadas al momento del último vencimiento o se encuentre en mora con los tributos posteriores al otorgamiento del plan hasta la finalización del mismo.-</w:t>
      </w:r>
    </w:p>
    <w:p>
      <w:pPr>
        <w:pStyle w:val="P12"/>
      </w:pPr>
      <w:r>
        <w:t xml:space="preserve"> </w:t>
      </w:r>
    </w:p>
    <w:p>
      <w:pPr>
        <w:pStyle w:val="P12"/>
        <w:ind w:hanging="426" w:left="426"/>
      </w:pPr>
      <w:r>
        <w:rPr>
          <w:rStyle w:val="C3"/>
          <w:b w:val="1"/>
          <w:u w:val="single"/>
        </w:rPr>
        <w:t>A</w:t>
      </w:r>
      <w:r>
        <w:rPr>
          <w:rStyle w:val="C3"/>
          <w:b w:val="1"/>
          <w:u w:val="single"/>
        </w:rPr>
        <w:t>rt</w:t>
      </w:r>
      <w:r>
        <w:rPr>
          <w:rStyle w:val="C3"/>
          <w:b w:val="1"/>
          <w:u w:val="single"/>
        </w:rPr>
        <w:t>.5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SUSPÉNDANSE</w:t>
      </w:r>
      <w:r>
        <w:t xml:space="preserve"> las Ordenanzas Nº 8017 y 8361 por el término de vigencia de la presente.-</w:t>
      </w:r>
    </w:p>
    <w:p>
      <w:pPr>
        <w:pStyle w:val="P12"/>
      </w:pPr>
    </w:p>
    <w:p>
      <w:pPr>
        <w:pStyle w:val="P12"/>
        <w:ind w:hanging="426" w:left="426"/>
      </w:pPr>
      <w:r>
        <w:rPr>
          <w:rStyle w:val="C3"/>
          <w:b w:val="1"/>
          <w:u w:val="single"/>
        </w:rPr>
        <w:t>Art.6</w:t>
      </w:r>
      <w:r>
        <w:rPr>
          <w:rStyle w:val="C3"/>
          <w:b w:val="1"/>
        </w:rPr>
        <w:t>: N</w:t>
      </w:r>
      <w:r>
        <w:rPr>
          <w:rStyle w:val="C3"/>
          <w:b w:val="1"/>
        </w:rPr>
        <w:t>O</w:t>
      </w:r>
      <w:r>
        <w:t xml:space="preserve"> se encuentran alcanzadas por este beneficio, las deudas regularizadas con planes de pagos anteriores a la vigencia de la presente.-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Art.7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LA</w:t>
      </w:r>
      <w:r>
        <w:rPr>
          <w:rStyle w:val="C3"/>
          <w:rFonts w:ascii="Courier New" w:hAnsi="Courier New"/>
        </w:rPr>
        <w:t xml:space="preserve"> presente Ordenanza entrará en vigencia a partir de la fecha de su promulgación.-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8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DIECISEIS DÍAS DEL MES DE JUNIO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2DD86D2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7EB63E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993D80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35A140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1B3F6B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02F0A7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1363B6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A732B5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0B8056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9">
    <w:nsid w:val="5A0F3919"/>
    <w:multiLevelType w:val="multilevel"/>
    <w:lvl w:ilvl="0">
      <w:start w:val="6"/>
      <w:numFmt w:val="upperRoman"/>
      <w:suff w:val="tab"/>
      <w:lvlText w:val="%1)"/>
      <w:lvlJc w:val="left"/>
      <w:pPr>
        <w:ind w:hanging="720" w:left="2138"/>
      </w:pPr>
      <w:rPr/>
    </w:lvl>
    <w:lvl w:ilvl="1">
      <w:start w:val="1"/>
      <w:numFmt w:val="lowerLetter"/>
      <w:suff w:val="tab"/>
      <w:lvlText w:val="%2."/>
      <w:lvlJc w:val="left"/>
      <w:pPr>
        <w:ind w:hanging="360" w:left="2498"/>
      </w:pPr>
      <w:rPr/>
    </w:lvl>
    <w:lvl w:ilvl="2">
      <w:start w:val="1"/>
      <w:numFmt w:val="lowerRoman"/>
      <w:suff w:val="tab"/>
      <w:lvlText w:val="%3."/>
      <w:lvlJc w:val="right"/>
      <w:pPr>
        <w:ind w:hanging="180" w:left="3218"/>
      </w:pPr>
      <w:rPr/>
    </w:lvl>
    <w:lvl w:ilvl="3">
      <w:start w:val="1"/>
      <w:numFmt w:val="decimal"/>
      <w:suff w:val="tab"/>
      <w:lvlText w:val="%4."/>
      <w:lvlJc w:val="left"/>
      <w:pPr>
        <w:ind w:hanging="360" w:left="3938"/>
      </w:pPr>
      <w:rPr/>
    </w:lvl>
    <w:lvl w:ilvl="4">
      <w:start w:val="1"/>
      <w:numFmt w:val="lowerLetter"/>
      <w:suff w:val="tab"/>
      <w:lvlText w:val="%5."/>
      <w:lvlJc w:val="left"/>
      <w:pPr>
        <w:ind w:hanging="360" w:left="4658"/>
      </w:pPr>
      <w:rPr/>
    </w:lvl>
    <w:lvl w:ilvl="5">
      <w:start w:val="1"/>
      <w:numFmt w:val="lowerRoman"/>
      <w:suff w:val="tab"/>
      <w:lvlText w:val="%6."/>
      <w:lvlJc w:val="right"/>
      <w:pPr>
        <w:ind w:hanging="180" w:left="5378"/>
      </w:pPr>
      <w:rPr/>
    </w:lvl>
    <w:lvl w:ilvl="6">
      <w:start w:val="1"/>
      <w:numFmt w:val="decimal"/>
      <w:suff w:val="tab"/>
      <w:lvlText w:val="%7."/>
      <w:lvlJc w:val="left"/>
      <w:pPr>
        <w:ind w:hanging="360" w:left="6098"/>
      </w:pPr>
      <w:rPr/>
    </w:lvl>
    <w:lvl w:ilvl="7">
      <w:start w:val="1"/>
      <w:numFmt w:val="lowerLetter"/>
      <w:suff w:val="tab"/>
      <w:lvlText w:val="%8."/>
      <w:lvlJc w:val="left"/>
      <w:pPr>
        <w:ind w:hanging="360" w:left="6818"/>
      </w:pPr>
      <w:rPr/>
    </w:lvl>
    <w:lvl w:ilvl="8">
      <w:start w:val="1"/>
      <w:numFmt w:val="lowerRoman"/>
      <w:suff w:val="tab"/>
      <w:lvlText w:val="%9."/>
      <w:lvlJc w:val="right"/>
      <w:pPr>
        <w:ind w:hanging="180" w:left="7538"/>
      </w:pPr>
      <w:rPr/>
    </w:lvl>
  </w:abstractNum>
  <w:abstractNum w:abstractNumId="1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0A44A9F"/>
    <w:multiLevelType w:val="multilevel"/>
    <w:lvl w:ilvl="0">
      <w:start w:val="1"/>
      <w:numFmt w:val="upperRoman"/>
      <w:suff w:val="tab"/>
      <w:lvlText w:val="%1)"/>
      <w:lvlJc w:val="left"/>
      <w:pPr>
        <w:ind w:hanging="720" w:left="2415"/>
      </w:pPr>
      <w:rPr/>
    </w:lvl>
    <w:lvl w:ilvl="1">
      <w:start w:val="1"/>
      <w:numFmt w:val="lowerLetter"/>
      <w:suff w:val="tab"/>
      <w:lvlText w:val="%2."/>
      <w:lvlJc w:val="left"/>
      <w:pPr>
        <w:ind w:hanging="360" w:left="2775"/>
      </w:pPr>
      <w:rPr/>
    </w:lvl>
    <w:lvl w:ilvl="2">
      <w:start w:val="1"/>
      <w:numFmt w:val="lowerRoman"/>
      <w:suff w:val="tab"/>
      <w:lvlText w:val="%3."/>
      <w:lvlJc w:val="right"/>
      <w:pPr>
        <w:ind w:hanging="180" w:left="3495"/>
      </w:pPr>
      <w:rPr/>
    </w:lvl>
    <w:lvl w:ilvl="3">
      <w:start w:val="1"/>
      <w:numFmt w:val="decimal"/>
      <w:suff w:val="tab"/>
      <w:lvlText w:val="%4."/>
      <w:lvlJc w:val="left"/>
      <w:pPr>
        <w:ind w:hanging="360" w:left="4215"/>
      </w:pPr>
      <w:rPr/>
    </w:lvl>
    <w:lvl w:ilvl="4">
      <w:start w:val="1"/>
      <w:numFmt w:val="lowerLetter"/>
      <w:suff w:val="tab"/>
      <w:lvlText w:val="%5."/>
      <w:lvlJc w:val="left"/>
      <w:pPr>
        <w:ind w:hanging="360" w:left="4935"/>
      </w:pPr>
      <w:rPr/>
    </w:lvl>
    <w:lvl w:ilvl="5">
      <w:start w:val="1"/>
      <w:numFmt w:val="lowerRoman"/>
      <w:suff w:val="tab"/>
      <w:lvlText w:val="%6."/>
      <w:lvlJc w:val="right"/>
      <w:pPr>
        <w:ind w:hanging="180" w:left="5655"/>
      </w:pPr>
      <w:rPr/>
    </w:lvl>
    <w:lvl w:ilvl="6">
      <w:start w:val="1"/>
      <w:numFmt w:val="decimal"/>
      <w:suff w:val="tab"/>
      <w:lvlText w:val="%7."/>
      <w:lvlJc w:val="left"/>
      <w:pPr>
        <w:ind w:hanging="360" w:left="6375"/>
      </w:pPr>
      <w:rPr/>
    </w:lvl>
    <w:lvl w:ilvl="7">
      <w:start w:val="1"/>
      <w:numFmt w:val="lowerLetter"/>
      <w:suff w:val="tab"/>
      <w:lvlText w:val="%8."/>
      <w:lvlJc w:val="left"/>
      <w:pPr>
        <w:ind w:hanging="360" w:left="7095"/>
      </w:pPr>
      <w:rPr/>
    </w:lvl>
    <w:lvl w:ilvl="8">
      <w:start w:val="1"/>
      <w:numFmt w:val="lowerRoman"/>
      <w:suff w:val="tab"/>
      <w:lvlText w:val="%9."/>
      <w:lvlJc w:val="right"/>
      <w:pPr>
        <w:ind w:hanging="180" w:left="7815"/>
      </w:pPr>
      <w:rPr/>
    </w:lvl>
  </w:abstractNum>
  <w:abstractNum w:abstractNumId="12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718D0959"/>
    <w:multiLevelType w:val="multilevel"/>
    <w:lvl w:ilvl="0">
      <w:start w:val="3"/>
      <w:numFmt w:val="upperRoman"/>
      <w:suff w:val="tab"/>
      <w:lvlText w:val="%1)"/>
      <w:lvlJc w:val="left"/>
      <w:pPr>
        <w:ind w:hanging="720" w:left="2138"/>
      </w:pPr>
      <w:rPr/>
    </w:lvl>
    <w:lvl w:ilvl="1">
      <w:start w:val="1"/>
      <w:numFmt w:val="lowerLetter"/>
      <w:suff w:val="tab"/>
      <w:lvlText w:val="%2."/>
      <w:lvlJc w:val="left"/>
      <w:pPr>
        <w:ind w:hanging="360" w:left="2498"/>
      </w:pPr>
      <w:rPr/>
    </w:lvl>
    <w:lvl w:ilvl="2">
      <w:start w:val="1"/>
      <w:numFmt w:val="lowerRoman"/>
      <w:suff w:val="tab"/>
      <w:lvlText w:val="%3."/>
      <w:lvlJc w:val="right"/>
      <w:pPr>
        <w:ind w:hanging="180" w:left="3218"/>
      </w:pPr>
      <w:rPr/>
    </w:lvl>
    <w:lvl w:ilvl="3">
      <w:start w:val="1"/>
      <w:numFmt w:val="decimal"/>
      <w:suff w:val="tab"/>
      <w:lvlText w:val="%4."/>
      <w:lvlJc w:val="left"/>
      <w:pPr>
        <w:ind w:hanging="360" w:left="3938"/>
      </w:pPr>
      <w:rPr/>
    </w:lvl>
    <w:lvl w:ilvl="4">
      <w:start w:val="1"/>
      <w:numFmt w:val="lowerLetter"/>
      <w:suff w:val="tab"/>
      <w:lvlText w:val="%5."/>
      <w:lvlJc w:val="left"/>
      <w:pPr>
        <w:ind w:hanging="360" w:left="4658"/>
      </w:pPr>
      <w:rPr/>
    </w:lvl>
    <w:lvl w:ilvl="5">
      <w:start w:val="1"/>
      <w:numFmt w:val="lowerRoman"/>
      <w:suff w:val="tab"/>
      <w:lvlText w:val="%6."/>
      <w:lvlJc w:val="right"/>
      <w:pPr>
        <w:ind w:hanging="180" w:left="5378"/>
      </w:pPr>
      <w:rPr/>
    </w:lvl>
    <w:lvl w:ilvl="6">
      <w:start w:val="1"/>
      <w:numFmt w:val="decimal"/>
      <w:suff w:val="tab"/>
      <w:lvlText w:val="%7."/>
      <w:lvlJc w:val="left"/>
      <w:pPr>
        <w:ind w:hanging="360" w:left="6098"/>
      </w:pPr>
      <w:rPr/>
    </w:lvl>
    <w:lvl w:ilvl="7">
      <w:start w:val="1"/>
      <w:numFmt w:val="lowerLetter"/>
      <w:suff w:val="tab"/>
      <w:lvlText w:val="%8."/>
      <w:lvlJc w:val="left"/>
      <w:pPr>
        <w:ind w:hanging="360" w:left="6818"/>
      </w:pPr>
      <w:rPr/>
    </w:lvl>
    <w:lvl w:ilvl="8">
      <w:start w:val="1"/>
      <w:numFmt w:val="lowerRoman"/>
      <w:suff w:val="tab"/>
      <w:lvlText w:val="%9."/>
      <w:lvlJc w:val="right"/>
      <w:pPr>
        <w:ind w:hanging="180" w:left="7538"/>
      </w:pPr>
      <w:rPr/>
    </w:lvl>
  </w:abstractNum>
  <w:abstractNum w:abstractNumId="1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12"/>
  </w:num>
  <w:num w:numId="5">
    <w:abstractNumId w:val="13"/>
  </w:num>
  <w:num w:numId="6">
    <w:abstractNumId w:val="2"/>
  </w:num>
  <w:num w:numId="7">
    <w:abstractNumId w:val="10"/>
  </w:num>
  <w:num w:numId="8">
    <w:abstractNumId w:val="0"/>
  </w:num>
  <w:num w:numId="9">
    <w:abstractNumId w:val="1"/>
  </w:num>
  <w:num w:numId="10">
    <w:abstractNumId w:val="3"/>
  </w:num>
  <w:num w:numId="11">
    <w:abstractNumId w:val="6"/>
  </w:num>
  <w:num w:numId="12">
    <w:abstractNumId w:val="7"/>
  </w:num>
  <w:num w:numId="13">
    <w:abstractNumId w:val="15"/>
  </w:num>
  <w:num w:numId="14">
    <w:abstractNumId w:val="14"/>
  </w:num>
  <w:num w:numId="15">
    <w:abstractNumId w:val="9"/>
  </w:num>
  <w:num w:numId="16">
    <w:abstractNumId w:val="1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Texto independiente primera sangría"/>
    <w:basedOn w:val="P11"/>
    <w:next w:val="P29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Texto independiente primera sangría Car"/>
    <w:basedOn w:val="C5"/>
    <w:link w:val="P29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2010-06-28T13:52:00Z</dcterms:created>
  <cp:lastModifiedBy>Ethan Puglia</cp:lastModifiedBy>
  <cp:lastPrinted>2010-07-02T13:13:00Z</cp:lastPrinted>
  <dcterms:modified xsi:type="dcterms:W3CDTF">2019-03-28T17:34:22Z</dcterms:modified>
  <cp:revision>25</cp:revision>
  <dc:title>PROYECTO DE ORDENANZA VIOLENCIA FAMILIAR</dc:title>
</cp:coreProperties>
</file>