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D6F8B70" Type="http://schemas.openxmlformats.org/officeDocument/2006/relationships/officeDocument" Target="/word/document.xml" /><Relationship Id="coreR3D6F8B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8661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1751/09 adjunto al 237/10, iniciados por Amadeo Yolanda – Previa y Excepción al Código de Edificación;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jc w:val="center"/>
      </w:pPr>
    </w:p>
    <w:p>
      <w:pPr>
        <w:jc w:val="center"/>
      </w:pPr>
    </w:p>
    <w:p>
      <w:pPr>
        <w:pStyle w:val="P13"/>
        <w:ind w:firstLine="0" w:left="567"/>
      </w:pPr>
      <w:r>
        <w:t>Que la solicitud concreta es el pedido de autorización para la construcción de un local comercial en el inmueble Designación Catastral 3-1-123-11, ubicado en calle Italia esq. Bolivia de Barrio Cámara de nuestra Ciudad, sin el cumplimiento de los Arts. 67º, 230º y 258º de la Ordenanza Nº 1294 (Código de Edificación y Urbanización de la Ciudad de Alta Gracia, en vigencia transitoria para Expedientes iniciados con fecha anterior a la puesta en vigencia del Nuevo Plan de Ordenamiento Urbano y Territorial de la Ciudad, Ordenanza Nº 8547);</w:t>
      </w:r>
    </w:p>
    <w:p>
      <w:pPr>
        <w:pStyle w:val="P13"/>
        <w:ind w:firstLine="0" w:left="567"/>
      </w:pPr>
    </w:p>
    <w:p>
      <w:pPr>
        <w:pStyle w:val="P13"/>
        <w:ind w:firstLine="0" w:left="567"/>
      </w:pPr>
      <w:r>
        <w:t>Que dichos Expedientes ya fueran girados por la Comisión de Obras y Servicios Públicos el pasado 17 de Marzo de 2010, solicitando al Departamento Ejecutivo se remitan a las Áreas Técnicas correspondientes a fin de que emitan los informes necesarios al momento de dar tratamiento a la presente solicitud;</w:t>
      </w:r>
    </w:p>
    <w:p>
      <w:pPr>
        <w:pStyle w:val="P13"/>
        <w:ind w:firstLine="0" w:left="567"/>
      </w:pPr>
    </w:p>
    <w:p>
      <w:pPr>
        <w:pStyle w:val="P13"/>
        <w:ind w:firstLine="0" w:left="567"/>
      </w:pPr>
      <w:r>
        <w:t>Que a Fs.11 re foliado, la Sección Catastro Municipal informa sobre la titularidad del inmueble en cuestión perteneciente a la solicitante;</w:t>
      </w:r>
    </w:p>
    <w:p>
      <w:pPr>
        <w:pStyle w:val="P13"/>
        <w:ind w:firstLine="0" w:left="567"/>
        <w:jc w:val="right"/>
      </w:pPr>
    </w:p>
    <w:p>
      <w:pPr>
        <w:pStyle w:val="P13"/>
        <w:ind w:firstLine="0" w:left="567"/>
        <w:jc w:val="right"/>
      </w:pPr>
      <w:r>
        <w:t>...///</w:t>
      </w:r>
    </w:p>
    <w:p>
      <w:pPr>
        <w:pStyle w:val="P13"/>
        <w:ind w:firstLine="0" w:left="567"/>
      </w:pPr>
      <w:r>
        <w:t xml:space="preserve">   </w:t>
      </w:r>
    </w:p>
    <w:p>
      <w:pPr>
        <w:pStyle w:val="P13"/>
        <w:ind w:left="567"/>
      </w:pPr>
    </w:p>
    <w:p>
      <w:pPr>
        <w:pStyle w:val="P13"/>
        <w:ind w:left="567"/>
      </w:pPr>
      <w:r>
        <w:tab/>
      </w:r>
    </w:p>
    <w:p>
      <w:pPr>
        <w:pStyle w:val="P19"/>
        <w:ind w:left="567"/>
        <w:jc w:val="right"/>
        <w:rPr>
          <w:rStyle w:val="C3"/>
          <w:rFonts w:ascii="Courier New" w:hAnsi="Courier New"/>
        </w:rPr>
      </w:pPr>
      <w:r>
        <w:rPr>
          <w:rStyle w:val="C3"/>
          <w:rFonts w:ascii="Courier New" w:hAnsi="Courier New"/>
        </w:rPr>
        <w:t xml:space="preserve"> </w:t>
      </w: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i w:val="1"/>
          <w:sz w:val="24"/>
        </w:rPr>
      </w:pPr>
      <w:r>
        <w:rPr>
          <w:rStyle w:val="C3"/>
          <w:rFonts w:ascii="JaneAusten" w:hAnsi="JaneAusten"/>
          <w:b w:val="0"/>
          <w:i w:val="1"/>
          <w:sz w:val="24"/>
        </w:rPr>
        <w:t>“2010 Año del Bicentenario de la Revolución de Mayo”</w:t>
      </w:r>
    </w:p>
    <w:p>
      <w:pPr>
        <w:pStyle w:val="P19"/>
        <w:tabs>
          <w:tab w:val="left" w:pos="1664" w:leader="none"/>
        </w:tabs>
        <w:jc w:val="both"/>
        <w:rPr>
          <w:rStyle w:val="C3"/>
          <w:rFonts w:ascii="Courier New" w:hAnsi="Courier New"/>
        </w:rPr>
      </w:pPr>
      <w:r>
        <w:rPr>
          <w:rStyle w:val="C3"/>
          <w:rFonts w:ascii="Courier New" w:hAnsi="Courier New"/>
        </w:rPr>
        <w:t>...///2.-</w:t>
      </w:r>
    </w:p>
    <w:p>
      <w:pPr>
        <w:pStyle w:val="P19"/>
        <w:ind w:left="567"/>
        <w:jc w:val="both"/>
        <w:rPr>
          <w:rStyle w:val="C3"/>
          <w:rFonts w:ascii="Courier New" w:hAnsi="Courier New"/>
        </w:rPr>
      </w:pPr>
      <w:r>
        <w:rPr>
          <w:rStyle w:val="C3"/>
          <w:rFonts w:ascii="Courier New" w:hAnsi="Courier New"/>
        </w:rPr>
        <w:t>Que a Fs.12, el Área de Obras Públicas informa sobre distintas situaciones como son el Art.67º “De la Ochava”, Art.230º “Del Estacionamiento” y Art.258º “De la ocupación del suelo (FOS)”;</w:t>
      </w:r>
    </w:p>
    <w:p>
      <w:pPr>
        <w:pStyle w:val="P19"/>
        <w:ind w:left="567"/>
        <w:jc w:val="both"/>
        <w:rPr>
          <w:rStyle w:val="C3"/>
          <w:rFonts w:ascii="Courier New" w:hAnsi="Courier New"/>
        </w:rPr>
      </w:pPr>
      <w:r>
        <w:rPr>
          <w:rStyle w:val="C3"/>
          <w:rFonts w:ascii="Courier New" w:hAnsi="Courier New"/>
        </w:rPr>
        <w:t>Que con respecto al primer punto: De la ochava, se establece en la normativa referida que en caso de existir apoyo dentro de la superficie determinada para ochava (columna), la Línea de Ochava se debe desplazar en forma paralela, ampliando dicha superficie en una distancia igual al diámetro del círculo circunscripto en la sección de la columna de apoyo. Pero en este caso que nos ocupa produce el desplazamiento mencionado pero no en forma paralela, hecho que a criterio de la Comisión de Obras y Servicios Públicos, no afecta a la finalidad de la Ochava, cual es la visibilidad (se puede observar en plano a Fs.8);</w:t>
      </w:r>
    </w:p>
    <w:p>
      <w:pPr>
        <w:pStyle w:val="P19"/>
        <w:ind w:left="567"/>
        <w:jc w:val="both"/>
        <w:rPr>
          <w:rStyle w:val="C3"/>
          <w:rFonts w:ascii="Courier New" w:hAnsi="Courier New"/>
        </w:rPr>
      </w:pPr>
      <w:r>
        <w:rPr>
          <w:rStyle w:val="C3"/>
          <w:rFonts w:ascii="Courier New" w:hAnsi="Courier New"/>
        </w:rPr>
        <w:t>Que con respecto al segundo punto: Del Estacionamiento, en la normativa referida, se establece que para locales cuya superficie cubierta exceda los 50 m2, se debe dejar un lugar para estacionar cada 100 m2. Respecto de este punto, el Área de Planeamiento a Fs.15 y 15 vta. informa que analizado el sector y el movimiento comercial generado por el centro de compras existente, conformado por tres edificios en funcionamiento y el que se encuentra en construcción, ninguno con lugar privado para estacionamiento de clientes, se hace necesario condicionar la excepción a la generación en un predio cercano con lugar para dicho espacio para usuarios y compradores;</w:t>
      </w:r>
    </w:p>
    <w:p>
      <w:pPr>
        <w:pStyle w:val="P19"/>
        <w:ind w:left="567"/>
        <w:jc w:val="both"/>
        <w:rPr>
          <w:rStyle w:val="C3"/>
          <w:rFonts w:ascii="Courier New" w:hAnsi="Courier New"/>
        </w:rPr>
      </w:pPr>
      <w:r>
        <w:rPr>
          <w:rStyle w:val="C3"/>
          <w:rFonts w:ascii="Courier New" w:hAnsi="Courier New"/>
        </w:rPr>
        <w:t xml:space="preserve">Que con respecto al tercer punto: De la ocupación del Suelo, en la normativa referida se establece un FOS (Factor de Ocupación del Suelo) del SETENTA POR CIENTO (70%), y en el caso que nos ocupa, según se desprende el proyecto presentado a Fs.8, el mismo es del CIEN POR CIENTO (100%) al igual que los otros tres ya existentes en el sector;     </w:t>
      </w:r>
    </w:p>
    <w:p>
      <w:pPr>
        <w:pStyle w:val="P19"/>
        <w:ind w:left="567"/>
        <w:jc w:val="right"/>
        <w:rPr>
          <w:rStyle w:val="C3"/>
          <w:rFonts w:ascii="Courier New" w:hAnsi="Courier New"/>
        </w:rPr>
      </w:pPr>
      <w:r>
        <w:rPr>
          <w:rStyle w:val="C3"/>
          <w:rFonts w:ascii="Courier New" w:hAnsi="Courier New"/>
        </w:rPr>
        <w:t xml:space="preserve">     ...///</w:t>
      </w:r>
    </w:p>
    <w:p>
      <w:pPr>
        <w:pStyle w:val="P19"/>
        <w:ind w:left="567"/>
        <w:jc w:val="both"/>
        <w:rPr>
          <w:rStyle w:val="C3"/>
          <w:rFonts w:ascii="Courier New" w:hAnsi="Courier New"/>
        </w:rPr>
      </w:pPr>
      <w:r>
        <w:rPr>
          <w:rStyle w:val="C3"/>
          <w:rFonts w:ascii="Courier New" w:hAnsi="Courier New"/>
        </w:rPr>
        <w:t xml:space="preserve">       </w:t>
      </w:r>
    </w:p>
    <w:p>
      <w:pPr>
        <w:pStyle w:val="P19"/>
        <w:ind w:left="567"/>
        <w:jc w:val="both"/>
        <w:rPr>
          <w:rStyle w:val="C3"/>
          <w:rFonts w:ascii="Courier New" w:hAnsi="Courier New"/>
        </w:rPr>
      </w:pPr>
      <w:r>
        <w:rPr>
          <w:rStyle w:val="C3"/>
          <w:rFonts w:ascii="Courier New" w:hAnsi="Courier New"/>
        </w:rPr>
        <w:t xml:space="preserve"> </w:t>
      </w:r>
    </w:p>
    <w:p>
      <w:pPr>
        <w:pStyle w:val="P19"/>
        <w:jc w:val="both"/>
        <w:rPr>
          <w:rStyle w:val="C3"/>
          <w:rFonts w:ascii="Courier New" w:hAnsi="Courier New"/>
        </w:rPr>
      </w:pPr>
    </w:p>
    <w:p>
      <w:pPr>
        <w:pStyle w:val="P16"/>
        <w:ind w:left="113"/>
        <w:jc w:val="center"/>
        <w:rPr>
          <w:rStyle w:val="C3"/>
          <w:rFonts w:ascii="Courier New" w:hAnsi="Courier New"/>
        </w:rPr>
      </w:pPr>
      <w:r>
        <w:rPr>
          <w:rStyle w:val="C3"/>
          <w:rFonts w:ascii="Courier New" w:hAnsi="Courier New"/>
        </w:rPr>
        <w:tab/>
      </w:r>
    </w:p>
    <w:p>
      <w:pPr>
        <w:pStyle w:val="P16"/>
        <w:ind w:left="113"/>
        <w:jc w:val="center"/>
        <w:rPr>
          <w:rStyle w:val="C3"/>
          <w:b w:val="1"/>
          <w:i w:val="1"/>
          <w:sz w:val="24"/>
        </w:rPr>
      </w:pPr>
      <w:r>
        <w:rPr>
          <w:rStyle w:val="C3"/>
          <w:rFonts w:ascii="JaneAusten" w:hAnsi="JaneAusten"/>
          <w:b w:val="0"/>
          <w:i w:val="1"/>
          <w:sz w:val="24"/>
        </w:rPr>
        <w:t>“2010 Año del Bicentenario de la Revolución de Mayo”</w:t>
      </w:r>
    </w:p>
    <w:p>
      <w:pPr>
        <w:pStyle w:val="P19"/>
        <w:tabs>
          <w:tab w:val="left" w:pos="1664" w:leader="none"/>
        </w:tabs>
        <w:jc w:val="both"/>
        <w:rPr>
          <w:rStyle w:val="C3"/>
          <w:rFonts w:ascii="Courier New" w:hAnsi="Courier New"/>
        </w:rPr>
      </w:pPr>
      <w:r>
        <w:rPr>
          <w:rStyle w:val="C3"/>
          <w:rFonts w:ascii="Courier New" w:hAnsi="Courier New"/>
        </w:rPr>
        <w:t>...///3.-</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es de conocimiento de la Comisión de Obras y Servicios Públicos, el gran progreso devenido en esa zona desde que este emprendimiento familiar y empresario, instalará con un sostenido esfuerzo (Vías de acceso, comunicación y pavimento, movimiento comercial, valorización de las propiedades del sector, etc.);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30 de Junio de 2010.-</w:t>
      </w:r>
    </w:p>
    <w:p>
      <w:pPr>
        <w:tabs>
          <w:tab w:val="left" w:pos="3909" w:leader="none"/>
        </w:tabs>
        <w:ind w:left="567"/>
        <w:jc w:val="both"/>
        <w:rPr>
          <w:rStyle w:val="C3"/>
          <w:rFonts w:ascii="Courier New" w:hAnsi="Courier New"/>
        </w:rPr>
      </w:pPr>
    </w:p>
    <w:p>
      <w:pPr>
        <w:tabs>
          <w:tab w:val="left" w:pos="3909" w:leader="none"/>
        </w:tabs>
        <w:ind w:left="567"/>
        <w:jc w:val="both"/>
        <w:rPr>
          <w:rStyle w:val="C3"/>
          <w:rFonts w:ascii="Courier New" w:hAnsi="Courier New"/>
        </w:rPr>
      </w:pPr>
      <w:r>
        <w:rPr>
          <w:rStyle w:val="C3"/>
          <w:rFonts w:ascii="Courier New" w:hAnsi="Courier New"/>
        </w:rPr>
        <w:tab/>
      </w:r>
    </w:p>
    <w:p>
      <w:pPr>
        <w:pStyle w:val="P11"/>
        <w:ind w:left="567"/>
        <w:rPr>
          <w:rStyle w:val="C3"/>
          <w:b w:val="1"/>
        </w:rPr>
      </w:pPr>
      <w:r>
        <w:t xml:space="preserve"> </w:t>
      </w: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jc w:val="center"/>
        <w:rPr>
          <w:rStyle w:val="C3"/>
        </w:rPr>
      </w:pPr>
    </w:p>
    <w:p>
      <w:pPr>
        <w:ind w:hanging="426" w:left="426"/>
        <w:jc w:val="both"/>
        <w:rPr>
          <w:rStyle w:val="C3"/>
          <w:rFonts w:ascii="Courier New" w:hAnsi="Courier New"/>
          <w:b w:val="1"/>
          <w:u w:val="single"/>
        </w:rPr>
      </w:pPr>
    </w:p>
    <w:p>
      <w:pPr>
        <w:pStyle w:val="P12"/>
        <w:ind w:hanging="426" w:left="426"/>
      </w:pPr>
      <w:r>
        <w:rPr>
          <w:rStyle w:val="C3"/>
          <w:b w:val="1"/>
          <w:u w:val="single"/>
        </w:rPr>
        <w:t>Art.1</w:t>
      </w:r>
      <w:r>
        <w:rPr>
          <w:rStyle w:val="C3"/>
          <w:b w:val="1"/>
        </w:rPr>
        <w:t>:</w:t>
      </w:r>
      <w:r>
        <w:t xml:space="preserve"> </w:t>
      </w:r>
      <w:r>
        <w:rPr>
          <w:rStyle w:val="C3"/>
          <w:b w:val="1"/>
        </w:rPr>
        <w:t>AUTORIZAR</w:t>
      </w:r>
      <w:r>
        <w:t xml:space="preserve"> a la Sra. Amadeo, Yolanda, a construir un local comercial en el inmueble Designación Catastral 3-1-123-11, ubicados en Calle Italia esq. Bolivia de Barrio Cámara de nuestra Ciudad, sin el cumplimiento de los Arts. 67º, 230º y 258º de la Ordenanza Nº 1294 (Código de Edificación y Urbanización de la Ciudad de Alta Gracia, en vigencia transitoria para Expedientes iniciados con fecha anterior a la puesta en vigencia del Nuevo Plan de Ordenamiento Urbano y Territorial de la Ciudad, Ordenanza Nº 8547).- </w:t>
      </w:r>
    </w:p>
    <w:p>
      <w:pPr>
        <w:tabs>
          <w:tab w:val="left" w:pos="0" w:leader="none"/>
        </w:tabs>
        <w:jc w:val="cente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CONDICIONASE</w:t>
      </w:r>
      <w:r>
        <w:rPr>
          <w:rStyle w:val="C3"/>
          <w:rFonts w:ascii="Courier New" w:hAnsi="Courier New"/>
        </w:rPr>
        <w:t xml:space="preserve"> la autorización del punto anterior a la instalación en un predio cercano, a no más de 100 mts. del centro comercial en cuestión, de un espacio para estacionamiento permanente de los clientes y compradores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i w:val="1"/>
          <w:sz w:val="24"/>
        </w:rPr>
      </w:pPr>
      <w:r>
        <w:rPr>
          <w:rStyle w:val="C3"/>
          <w:rFonts w:ascii="JaneAusten" w:hAnsi="JaneAusten"/>
          <w:b w:val="0"/>
          <w:i w:val="1"/>
          <w:sz w:val="24"/>
        </w:rPr>
        <w:t>“2010 Año del Bicentenario de la Revolución de Mayo”</w:t>
      </w:r>
    </w:p>
    <w:p>
      <w:pPr>
        <w:pStyle w:val="P19"/>
        <w:tabs>
          <w:tab w:val="left" w:pos="1664" w:leader="none"/>
        </w:tabs>
        <w:jc w:val="both"/>
        <w:rPr>
          <w:rStyle w:val="C3"/>
          <w:rFonts w:ascii="Courier New" w:hAnsi="Courier New"/>
        </w:rPr>
      </w:pPr>
      <w:r>
        <w:rPr>
          <w:rStyle w:val="C3"/>
          <w:rFonts w:ascii="Courier New" w:hAnsi="Courier New"/>
        </w:rPr>
        <w:t>...///4.-</w:t>
      </w:r>
    </w:p>
    <w:p>
      <w:pPr>
        <w:ind w:left="360"/>
        <w:jc w:val="both"/>
        <w:rPr>
          <w:rStyle w:val="C3"/>
          <w:rFonts w:ascii="Courier New" w:hAnsi="Courier New"/>
        </w:rPr>
      </w:pPr>
    </w:p>
    <w:p>
      <w:pPr>
        <w:ind w:left="360"/>
        <w:jc w:val="both"/>
        <w:rPr>
          <w:rStyle w:val="C3"/>
          <w:rFonts w:ascii="Courier New" w:hAnsi="Courier New"/>
          <w:b w:val="1"/>
          <w:u w:val="single"/>
        </w:rPr>
      </w:pPr>
      <w:r>
        <w:rPr>
          <w:rStyle w:val="C3"/>
          <w:rFonts w:ascii="Courier New" w:hAnsi="Courier New"/>
        </w:rPr>
        <w:t>del mismo, con una capacidad de un lugar para vehículo cada 100 m2 de superficie teniendo en cuenta la totalidad de dicho complejo.-</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TREINTA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6861B9E8">
      <w:start w:val="0"/>
      <w:numFmt w:val="bullet"/>
      <w:suff w:val="tab"/>
      <w:lvlText w:val=""/>
      <w:lvlJc w:val="left"/>
      <w:pPr>
        <w:ind w:hanging="360" w:left="927"/>
      </w:pPr>
      <w:rPr>
        <w:rFonts w:ascii="Symbol" w:hAnsi="Symbol"/>
      </w:rPr>
    </w:lvl>
    <w:lvl w:ilvl="1" w:tplc="56092A99">
      <w:start w:val="1"/>
      <w:numFmt w:val="bullet"/>
      <w:suff w:val="tab"/>
      <w:lvlText w:val="o"/>
      <w:lvlJc w:val="left"/>
      <w:pPr>
        <w:ind w:hanging="360" w:left="1647"/>
      </w:pPr>
      <w:rPr>
        <w:rFonts w:ascii="Courier New" w:hAnsi="Courier New"/>
      </w:rPr>
    </w:lvl>
    <w:lvl w:ilvl="2" w:tplc="17352AC3">
      <w:start w:val="1"/>
      <w:numFmt w:val="bullet"/>
      <w:suff w:val="tab"/>
      <w:lvlText w:val=""/>
      <w:lvlJc w:val="left"/>
      <w:pPr>
        <w:ind w:hanging="360" w:left="2367"/>
      </w:pPr>
      <w:rPr>
        <w:rFonts w:ascii="Wingdings" w:hAnsi="Wingdings"/>
      </w:rPr>
    </w:lvl>
    <w:lvl w:ilvl="3" w:tplc="46C61979">
      <w:start w:val="1"/>
      <w:numFmt w:val="bullet"/>
      <w:suff w:val="tab"/>
      <w:lvlText w:val=""/>
      <w:lvlJc w:val="left"/>
      <w:pPr>
        <w:ind w:hanging="360" w:left="3087"/>
      </w:pPr>
      <w:rPr>
        <w:rFonts w:ascii="Symbol" w:hAnsi="Symbol"/>
      </w:rPr>
    </w:lvl>
    <w:lvl w:ilvl="4" w:tplc="6CA386F8">
      <w:start w:val="1"/>
      <w:numFmt w:val="bullet"/>
      <w:suff w:val="tab"/>
      <w:lvlText w:val="o"/>
      <w:lvlJc w:val="left"/>
      <w:pPr>
        <w:ind w:hanging="360" w:left="3807"/>
      </w:pPr>
      <w:rPr>
        <w:rFonts w:ascii="Courier New" w:hAnsi="Courier New"/>
      </w:rPr>
    </w:lvl>
    <w:lvl w:ilvl="5" w:tplc="37BCB618">
      <w:start w:val="1"/>
      <w:numFmt w:val="bullet"/>
      <w:suff w:val="tab"/>
      <w:lvlText w:val=""/>
      <w:lvlJc w:val="left"/>
      <w:pPr>
        <w:ind w:hanging="360" w:left="4527"/>
      </w:pPr>
      <w:rPr>
        <w:rFonts w:ascii="Wingdings" w:hAnsi="Wingdings"/>
      </w:rPr>
    </w:lvl>
    <w:lvl w:ilvl="6" w:tplc="1BDF9871">
      <w:start w:val="1"/>
      <w:numFmt w:val="bullet"/>
      <w:suff w:val="tab"/>
      <w:lvlText w:val=""/>
      <w:lvlJc w:val="left"/>
      <w:pPr>
        <w:ind w:hanging="360" w:left="5247"/>
      </w:pPr>
      <w:rPr>
        <w:rFonts w:ascii="Symbol" w:hAnsi="Symbol"/>
      </w:rPr>
    </w:lvl>
    <w:lvl w:ilvl="7" w:tplc="1AAC7D0E">
      <w:start w:val="1"/>
      <w:numFmt w:val="bullet"/>
      <w:suff w:val="tab"/>
      <w:lvlText w:val="o"/>
      <w:lvlJc w:val="left"/>
      <w:pPr>
        <w:ind w:hanging="360" w:left="5967"/>
      </w:pPr>
      <w:rPr>
        <w:rFonts w:ascii="Courier New" w:hAnsi="Courier New"/>
      </w:rPr>
    </w:lvl>
    <w:lvl w:ilvl="8" w:tplc="5B01D16B">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8"/>
  </w:num>
  <w:num w:numId="2">
    <w:abstractNumId w:val="4"/>
  </w:num>
  <w:num w:numId="3">
    <w:abstractNumId w:val="5"/>
  </w:num>
  <w:num w:numId="4">
    <w:abstractNumId w:val="10"/>
  </w:num>
  <w:num w:numId="5">
    <w:abstractNumId w:val="11"/>
  </w:num>
  <w:num w:numId="6">
    <w:abstractNumId w:val="2"/>
  </w:num>
  <w:num w:numId="7">
    <w:abstractNumId w:val="9"/>
  </w:num>
  <w:num w:numId="8">
    <w:abstractNumId w:val="0"/>
  </w:num>
  <w:num w:numId="9">
    <w:abstractNumId w:val="1"/>
  </w:num>
  <w:num w:numId="10">
    <w:abstractNumId w:val="3"/>
  </w:num>
  <w:num w:numId="11">
    <w:abstractNumId w:val="6"/>
  </w:num>
  <w:num w:numId="12">
    <w:abstractNumId w:val="7"/>
  </w:num>
  <w:num w:numId="13">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2010-07-02T11:00:00Z</dcterms:created>
  <cp:lastModifiedBy>Ethan Puglia</cp:lastModifiedBy>
  <cp:lastPrinted>2010-06-25T10:19:00Z</cp:lastPrinted>
  <dcterms:modified xsi:type="dcterms:W3CDTF">2019-03-28T17:34:22Z</dcterms:modified>
  <cp:revision>13</cp:revision>
  <dc:title>PROYECTO DE ORDENANZA VIOLENCIA FAMILIAR</dc:title>
</cp:coreProperties>
</file>