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2AA489E" Type="http://schemas.openxmlformats.org/officeDocument/2006/relationships/officeDocument" Target="/word/document.xml" /><Relationship Id="coreR42AA489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8663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Tarifaria Nº 8531;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/>
    <w:p>
      <w:pPr>
        <w:jc w:val="center"/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Nº 8531 en su Art.18º prevé el Servicio de Traslado y Estadía de Vehículos;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cobro de los montos establecidos en el Artículo mencionado no tuvo el efecto que se perseguía al incluirlo en la norma, ya que se intentaba un retiro y pago rápido de los servicios;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debido a la cantidad de vehículos en resguardo y que el tiempo transcurrido  origina montos onerosos, por lo que surge la necesidad de establecer una forma de pago que promueva el retiro de los mismos;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 suspender hasta el 31 de Diciembre de 2010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 los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contribuyentes infractores y responsables que se encuentren alcanzados por el pago de los Servicios de Traslado y Estadía de Vehículos establecidos por el Art.18º de la Ordenanza Nº 8531, a la fecha de promulgación de la presente, según el detalle expuesto en el Articulado;  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totalidad de los Concejales presentes se resuelve, por unanimidad, su aprobación en Sesión Ordinaria del día 07 de Julio de 2010.-</w:t>
      </w:r>
    </w:p>
    <w:p>
      <w:pPr>
        <w:tabs>
          <w:tab w:val="left" w:pos="3909" w:leader="none"/>
        </w:tabs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11"/>
        <w:ind w:left="567"/>
        <w:jc w:val="right"/>
      </w:pPr>
      <w:r>
        <w:t xml:space="preserve"> ...///</w:t>
      </w: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i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i w:val="1"/>
          <w:sz w:val="24"/>
        </w:rPr>
      </w:pPr>
      <w:r>
        <w:rPr>
          <w:rStyle w:val="C3"/>
          <w:rFonts w:ascii="JaneAusten" w:hAnsi="JaneAusten"/>
          <w:b w:val="0"/>
          <w:i w:val="1"/>
          <w:sz w:val="24"/>
        </w:rPr>
        <w:t>“2010 Año del Bicentenario de la Revolución de Mayo”</w:t>
      </w:r>
    </w:p>
    <w:p>
      <w:pPr>
        <w:pStyle w:val="P19"/>
        <w:tabs>
          <w:tab w:val="left" w:pos="166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1"/>
        <w:tabs>
          <w:tab w:val="left" w:pos="1664" w:leader="none"/>
        </w:tabs>
        <w:ind w:left="567"/>
        <w:rPr>
          <w:rStyle w:val="C3"/>
          <w:b w:val="1"/>
        </w:rPr>
      </w:pPr>
      <w:r>
        <w:rPr>
          <w:rStyle w:val="C3"/>
          <w:b w:val="1"/>
        </w:rPr>
        <w:tab/>
      </w:r>
    </w:p>
    <w:p>
      <w:pPr>
        <w:pStyle w:val="P11"/>
        <w:tabs>
          <w:tab w:val="left" w:pos="1664" w:leader="none"/>
        </w:tabs>
        <w:ind w:left="567"/>
        <w:rPr>
          <w:rStyle w:val="C3"/>
          <w:b w:val="1"/>
        </w:rPr>
      </w:pPr>
    </w:p>
    <w:p>
      <w:pPr>
        <w:pStyle w:val="P11"/>
        <w:ind w:left="567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9"/>
        <w:tabs>
          <w:tab w:val="left" w:pos="1141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19"/>
        <w:tabs>
          <w:tab w:val="left" w:pos="1141" w:leader="none"/>
        </w:tabs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LOS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contribuyentes infractores y responsables que se encuentren alcanzados por el pago de los Servicios de Traslado y Estadía de Vehículos establecidos por el Art.18º de la Ordenanza Nº 8531, a la fecha de promulgación de la presente podrán acceder a los siguientes beneficios:</w:t>
      </w:r>
    </w:p>
    <w:p>
      <w:pPr>
        <w:numPr>
          <w:ilvl w:val="0"/>
          <w:numId w:val="14"/>
        </w:numPr>
        <w:ind w:hanging="29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que regularice desde la fecha de promulgación de la presente hasta el 24 de Septiembre de 2010, abonará un DIEZ POR CIENTO (10%) del monto de los servicios mencionados;</w:t>
      </w:r>
    </w:p>
    <w:p>
      <w:pPr>
        <w:numPr>
          <w:ilvl w:val="0"/>
          <w:numId w:val="14"/>
        </w:numPr>
        <w:ind w:hanging="29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que regularice entre el 25 de Septiembre de 2010 y el 23 de Noviembre de 2010, abonara un VEINTE POR CIENTO (20%) del monto de los Servicios mencionados;</w:t>
      </w:r>
    </w:p>
    <w:p>
      <w:pPr>
        <w:ind w:hanging="283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C)El que regularice desde el 24 de Noviembre de 2010 y hasta el 31 de Diciembre de 2010, abonará un TREINTA Y TRES POR CIENTO (33%) del monto de los servicios mencionados.-</w:t>
      </w:r>
    </w:p>
    <w:p>
      <w:pPr>
        <w:ind w:hanging="283" w:left="709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PARA</w:t>
      </w:r>
      <w:r>
        <w:rPr>
          <w:rStyle w:val="C3"/>
          <w:rFonts w:ascii="Courier New" w:hAnsi="Courier New"/>
        </w:rPr>
        <w:t xml:space="preserve"> acceder a los beneficios establecidos en el Art.1º el contribuyente o responsable deberá previamente, pagar la multa aplicada sin ningún beneficio y presentar toda la documentación requerida para el retiro del bien.-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EN </w:t>
      </w:r>
      <w:r>
        <w:rPr>
          <w:rStyle w:val="C3"/>
          <w:rFonts w:ascii="Courier New" w:hAnsi="Courier New"/>
        </w:rPr>
        <w:t>ningún caso el monto que se deba abonar por los Servicios de Traslado y Estadía de Vehículos podrá superar el TREINTA Y TRES POR CIENTO (33%) del valor de mercado del bien.-</w:t>
      </w:r>
    </w:p>
    <w:p>
      <w:pPr>
        <w:ind w:hanging="283"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2"/>
        <w:ind w:hanging="426" w:left="426"/>
      </w:pPr>
      <w:r>
        <w:t xml:space="preserve"> </w:t>
      </w:r>
    </w:p>
    <w:p>
      <w:pPr>
        <w:pStyle w:val="P12"/>
        <w:ind w:hanging="426" w:left="426"/>
      </w:pPr>
    </w:p>
    <w:p>
      <w:pPr>
        <w:pStyle w:val="P12"/>
        <w:ind w:hanging="426" w:left="426"/>
      </w:pPr>
    </w:p>
    <w:p>
      <w:pPr>
        <w:pStyle w:val="P12"/>
        <w:ind w:hanging="426" w:left="426"/>
      </w:pPr>
    </w:p>
    <w:p>
      <w:pPr>
        <w:pStyle w:val="P12"/>
        <w:ind w:hanging="426" w:left="426"/>
      </w:pPr>
    </w:p>
    <w:p>
      <w:pPr>
        <w:pStyle w:val="P12"/>
        <w:ind w:hanging="426" w:left="426"/>
      </w:pPr>
    </w:p>
    <w:p>
      <w:pPr>
        <w:pStyle w:val="P16"/>
        <w:ind w:left="113"/>
        <w:jc w:val="center"/>
        <w:rPr>
          <w:rStyle w:val="C3"/>
          <w:b w:val="1"/>
          <w:i w:val="1"/>
          <w:sz w:val="24"/>
        </w:rPr>
      </w:pPr>
      <w:r>
        <w:rPr>
          <w:rStyle w:val="C3"/>
          <w:rFonts w:ascii="JaneAusten" w:hAnsi="JaneAusten"/>
          <w:b w:val="0"/>
          <w:i w:val="1"/>
          <w:sz w:val="24"/>
        </w:rPr>
        <w:t>“2010 Año del Bicentenario de la Revolución de Mayo”</w:t>
      </w:r>
    </w:p>
    <w:p>
      <w:pPr>
        <w:pStyle w:val="P19"/>
        <w:tabs>
          <w:tab w:val="left" w:pos="166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LOS</w:t>
      </w:r>
      <w:r>
        <w:rPr>
          <w:rStyle w:val="C3"/>
          <w:rFonts w:ascii="Courier New" w:hAnsi="Courier New"/>
        </w:rPr>
        <w:t xml:space="preserve"> beneficios otorgados por la presente, tendrán vigencia hasta el 31 de Diciembre de 2010 a partir de la fecha de promulgación de la misma.-</w:t>
      </w:r>
    </w:p>
    <w:p>
      <w:pPr>
        <w:pStyle w:val="P12"/>
        <w:ind w:hanging="426" w:left="426"/>
        <w:rPr>
          <w:rStyle w:val="C3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SIETE DÍAS DEL MES DE JULIO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50AA2E6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42A146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77CE76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2C03E7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30FD49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63D218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6BE78F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E81EA5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504DCD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0"/>
  </w:num>
  <w:num w:numId="5">
    <w:abstractNumId w:val="12"/>
  </w:num>
  <w:num w:numId="6">
    <w:abstractNumId w:val="2"/>
  </w:num>
  <w:num w:numId="7">
    <w:abstractNumId w:val="9"/>
  </w:num>
  <w:num w:numId="8">
    <w:abstractNumId w:val="0"/>
  </w:num>
  <w:num w:numId="9">
    <w:abstractNumId w:val="1"/>
  </w:num>
  <w:num w:numId="10">
    <w:abstractNumId w:val="3"/>
  </w:num>
  <w:num w:numId="11">
    <w:abstractNumId w:val="6"/>
  </w:num>
  <w:num w:numId="12">
    <w:abstractNumId w:val="7"/>
  </w:num>
  <w:num w:numId="13">
    <w:abstractNumId w:val="13"/>
  </w:num>
  <w:num w:numId="14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2010-07-08T11:09:00Z</dcterms:created>
  <cp:lastModifiedBy>Ethan Puglia</cp:lastModifiedBy>
  <cp:lastPrinted>2010-07-08T11:05:00Z</cp:lastPrinted>
  <dcterms:modified xsi:type="dcterms:W3CDTF">2019-03-28T17:34:22Z</dcterms:modified>
  <cp:revision>6</cp:revision>
  <dc:title>PROYECTO DE ORDENANZA VIOLENCIA FAMILIAR</dc:title>
</cp:coreProperties>
</file>