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D54D17" Type="http://schemas.openxmlformats.org/officeDocument/2006/relationships/officeDocument" Target="/word/document.xml" /><Relationship Id="coreRDD54D1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8668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Ordenanza Nº 8642;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</w:pPr>
    </w:p>
    <w:p>
      <w:pPr>
        <w:pStyle w:val="P13"/>
        <w:tabs>
          <w:tab w:val="left" w:pos="0" w:leader="none"/>
        </w:tabs>
        <w:ind w:left="567"/>
      </w:pPr>
      <w:r>
        <w:tab/>
        <w:tab/>
        <w:t>Que a través de su plexo normativo se exime el CIEN POR CIENTO (100%) de la deuda no prescripta en concepto de Tasa por Servicios a la propiedad correspondiente a los inmuebles Designación Catastral 04-01-041-4 y 04-01-041-5;</w:t>
      </w:r>
    </w:p>
    <w:p>
      <w:pPr>
        <w:pStyle w:val="P13"/>
        <w:tabs>
          <w:tab w:val="left" w:pos="0" w:leader="none"/>
        </w:tabs>
        <w:ind w:left="0"/>
      </w:pPr>
    </w:p>
    <w:p>
      <w:pPr>
        <w:tabs>
          <w:tab w:val="left" w:pos="567" w:leader="none"/>
        </w:tabs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su Art.1º se otorga el beneficio en cuestión, pero solo se hace mención del Número de Cuenta correspondiente a la Designación Catastral 04-01-041-5, por lo cual es necesario y oportuno consignar ambas;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presentes, se resuelve aprobar el mismo por unanimidad en Sesión Ordinaria del día 21 de Julio de 2010.-</w:t>
      </w:r>
    </w:p>
    <w:p>
      <w:pPr>
        <w:tabs>
          <w:tab w:val="left" w:pos="3909" w:leader="none"/>
        </w:tabs>
        <w:ind w:left="567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tabs>
          <w:tab w:val="left" w:pos="3909" w:leader="none"/>
        </w:tabs>
        <w:ind w:left="567"/>
        <w:jc w:val="right"/>
        <w:rPr>
          <w:rStyle w:val="C3"/>
        </w:rPr>
      </w:pPr>
      <w:r>
        <w:rPr>
          <w:rStyle w:val="C3"/>
          <w:rFonts w:ascii="Courier New" w:hAnsi="Courier New"/>
        </w:rPr>
        <w:t xml:space="preserve"> </w:t>
      </w:r>
    </w:p>
    <w:p>
      <w:pPr>
        <w:pStyle w:val="P11"/>
        <w:ind w:left="567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9"/>
        <w:tabs>
          <w:tab w:val="left" w:pos="1664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142" w:leader="none"/>
          <w:tab w:val="left" w:pos="426" w:leader="none"/>
        </w:tabs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tabs>
          <w:tab w:val="left" w:pos="142" w:leader="none"/>
          <w:tab w:val="left" w:pos="426" w:leader="none"/>
        </w:tabs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MODIFICASE</w:t>
      </w:r>
      <w:r>
        <w:rPr>
          <w:rStyle w:val="C3"/>
          <w:rFonts w:ascii="Courier New" w:hAnsi="Courier New"/>
        </w:rPr>
        <w:t xml:space="preserve"> el Art.1º de la Ordenanza Nº 8642 en donde dice …” el Inmueble Designación Catastral 04-01-041-4 y 5 Cuenta 5940..” deberá decir “el Inmueble Designación Catastral 04-01-041-4 y 04-01-041-5 Cuentas 5939 y 5940 respectivamente…”.-</w:t>
      </w:r>
    </w:p>
    <w:p>
      <w:pPr>
        <w:ind w:hanging="360" w:left="360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ind w:hanging="360" w:left="360"/>
        <w:jc w:val="both"/>
        <w:rPr>
          <w:rStyle w:val="C3"/>
          <w:rFonts w:ascii="Courier New" w:hAnsi="Courier New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VEINTIUN DÍAS DEL MES DE JULIO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145A66F1"/>
    <w:multiLevelType w:val="hybridMultilevel"/>
    <w:lvl w:ilvl="0" w:tplc="6B8231B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1DB5503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74D9B0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CF02F4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3B93E5B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1A0B7F6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0F1597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CEA7F4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19DB902E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2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5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9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0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10"/>
  </w:num>
  <w:num w:numId="5">
    <w:abstractNumId w:val="13"/>
  </w:num>
  <w:num w:numId="6">
    <w:abstractNumId w:val="2"/>
  </w:num>
  <w:num w:numId="7">
    <w:abstractNumId w:val="9"/>
  </w:num>
  <w:num w:numId="8">
    <w:abstractNumId w:val="0"/>
  </w:num>
  <w:num w:numId="9">
    <w:abstractNumId w:val="1"/>
  </w:num>
  <w:num w:numId="10">
    <w:abstractNumId w:val="3"/>
  </w:num>
  <w:num w:numId="11">
    <w:abstractNumId w:val="6"/>
  </w:num>
  <w:num w:numId="12">
    <w:abstractNumId w:val="7"/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Texto independiente primera sangría"/>
    <w:basedOn w:val="P11"/>
    <w:next w:val="P29"/>
    <w:link w:val="C9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Texto independiente primera sangría Car"/>
    <w:basedOn w:val="C5"/>
    <w:link w:val="P29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2010-07-22T11:11:00Z</dcterms:created>
  <cp:lastModifiedBy>Ethan Puglia</cp:lastModifiedBy>
  <cp:lastPrinted>2010-07-12T13:05:00Z</cp:lastPrinted>
  <dcterms:modified xsi:type="dcterms:W3CDTF">2019-03-28T17:34:22Z</dcterms:modified>
  <cp:revision>6</cp:revision>
  <dc:title>PROYECTO DE ORDENANZA VIOLENCIA FAMILIAR</dc:title>
</cp:coreProperties>
</file>