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B266960" Type="http://schemas.openxmlformats.org/officeDocument/2006/relationships/officeDocument" Target="/word/document.xml" /><Relationship Id="coreR1B266960"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454" w:left="567"/>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Nº 8679</w:t>
      </w:r>
    </w:p>
    <w:p>
      <w:pPr>
        <w:ind w:hanging="561" w:left="561"/>
        <w:jc w:val="both"/>
        <w:rPr>
          <w:rStyle w:val="C3"/>
          <w:rFonts w:ascii="Courier New" w:hAnsi="Courier New"/>
        </w:rPr>
      </w:pPr>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Expediente Nº 335/10; y</w:t>
      </w:r>
    </w:p>
    <w:p>
      <w:pPr>
        <w:ind w:hanging="561" w:left="561"/>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Pr>
        <w:tabs>
          <w:tab w:val="left" w:pos="2824" w:leader="none"/>
        </w:tabs>
      </w:pPr>
      <w:r>
        <w:tab/>
      </w:r>
    </w:p>
    <w:p>
      <w:pPr>
        <w:pStyle w:val="P13"/>
        <w:tabs>
          <w:tab w:val="left" w:pos="567" w:leader="none"/>
        </w:tabs>
        <w:ind w:firstLine="0" w:left="567"/>
      </w:pPr>
      <w:r>
        <w:t>Que a través del mencionado instrumento administrativo y mediante nota, la Sra. Nancy del Valle Godoy, DNI 13.709.972, solicita se le autorice al pago de TRES (3) cuotas de la multa que le fuere impuesta mediante Acta Nº 00006423, como así también pide la eximición de la Tasa por depósito del vehículo;</w:t>
      </w:r>
    </w:p>
    <w:p>
      <w:pPr>
        <w:pStyle w:val="P13"/>
        <w:tabs>
          <w:tab w:val="left" w:pos="567" w:leader="none"/>
        </w:tabs>
        <w:ind w:left="567"/>
      </w:pPr>
    </w:p>
    <w:p>
      <w:pPr>
        <w:pStyle w:val="P13"/>
        <w:tabs>
          <w:tab w:val="left" w:pos="567" w:leader="none"/>
        </w:tabs>
        <w:ind w:left="567"/>
      </w:pPr>
      <w:r>
        <w:tab/>
        <w:t>Que del Relevamiento Socioeconómico y Ambiental se desprende que la Sra. Godoy vive con su conyugue y sus tres hijos, siendo su único ingreso el sueldo de su esposo;</w:t>
      </w:r>
    </w:p>
    <w:p>
      <w:pPr>
        <w:pStyle w:val="P13"/>
        <w:tabs>
          <w:tab w:val="left" w:pos="-993" w:leader="none"/>
          <w:tab w:val="left" w:pos="567" w:leader="none"/>
        </w:tabs>
        <w:ind w:firstLine="0" w:left="567"/>
      </w:pPr>
      <w:r>
        <w:t xml:space="preserve">    </w:t>
      </w:r>
    </w:p>
    <w:p>
      <w:pPr>
        <w:ind w:left="567"/>
        <w:jc w:val="both"/>
        <w:rPr>
          <w:rStyle w:val="C3"/>
          <w:rFonts w:ascii="Courier New" w:hAnsi="Courier New"/>
        </w:rPr>
      </w:pPr>
      <w:r>
        <w:rPr>
          <w:rStyle w:val="C3"/>
          <w:rFonts w:ascii="Courier New" w:hAnsi="Courier New"/>
        </w:rPr>
        <w:t>Que analizado el Expediente de referencia, por la Comisión de Hacienda, la misma emite despacho favorable, aprobado por unanimidad en Sesión Ordinaria del día 04 de Agosto de 2010.-</w:t>
      </w:r>
    </w:p>
    <w:p>
      <w:pPr>
        <w:ind w:left="709"/>
        <w:jc w:val="both"/>
        <w:rPr>
          <w:rStyle w:val="C3"/>
          <w:rFonts w:ascii="Courier New" w:hAnsi="Courier New"/>
        </w:rPr>
      </w:pPr>
    </w:p>
    <w:p>
      <w:pPr>
        <w:tabs>
          <w:tab w:val="left" w:pos="3909" w:leader="none"/>
        </w:tabs>
        <w:ind w:left="567"/>
        <w:jc w:val="right"/>
        <w:rPr>
          <w:rStyle w:val="C3"/>
          <w:rFonts w:ascii="Courier New" w:hAnsi="Courier New"/>
        </w:rPr>
      </w:pPr>
      <w:r>
        <w:rPr>
          <w:rStyle w:val="C3"/>
          <w:rFonts w:ascii="Courier New" w:hAnsi="Courier New"/>
        </w:rPr>
        <w:t xml:space="preserve">         </w:t>
      </w: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1"/>
        <w:ind w:hanging="426" w:left="426"/>
        <w:rPr>
          <w:rStyle w:val="C3"/>
          <w:b w:val="1"/>
          <w:u w:val="single"/>
        </w:rPr>
      </w:pPr>
    </w:p>
    <w:p>
      <w:pPr>
        <w:pStyle w:val="P11"/>
        <w:ind w:hanging="426" w:left="426"/>
        <w:rPr>
          <w:rStyle w:val="C3"/>
          <w:b w:val="1"/>
          <w:u w:val="single"/>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AUTORIZAR</w:t>
      </w:r>
      <w:r>
        <w:rPr>
          <w:rStyle w:val="C3"/>
          <w:rFonts w:ascii="Courier New" w:hAnsi="Courier New"/>
        </w:rPr>
        <w:t xml:space="preserve"> a  la Sra. Nancy del Valle Godoy, DNI 13.709.972,  el pago de la infracción impuesta en el acta Nº 00006423, en TRES (3) cuotas, sin recargos ni intereses.-</w:t>
      </w:r>
    </w:p>
    <w:p>
      <w:pPr>
        <w:pStyle w:val="P11"/>
        <w:ind w:hanging="426" w:left="426"/>
        <w:jc w:val="right"/>
      </w:pPr>
      <w:r>
        <w:t>...///</w:t>
      </w:r>
    </w:p>
    <w:p>
      <w:pPr>
        <w:pStyle w:val="P11"/>
        <w:ind w:hanging="426" w:left="426"/>
        <w:rPr>
          <w:rStyle w:val="C3"/>
          <w:b w:val="1"/>
          <w:u w:val="single"/>
        </w:rPr>
      </w:pPr>
    </w:p>
    <w:p>
      <w:pPr>
        <w:pStyle w:val="P11"/>
        <w:ind w:hanging="426" w:left="426"/>
        <w:rPr>
          <w:rStyle w:val="C3"/>
          <w:b w:val="1"/>
          <w:u w:val="single"/>
        </w:rPr>
      </w:pPr>
    </w:p>
    <w:p>
      <w:pPr>
        <w:pStyle w:val="P11"/>
        <w:ind w:hanging="426" w:left="426"/>
        <w:rPr>
          <w:rStyle w:val="C3"/>
          <w:b w:val="1"/>
          <w:u w:val="single"/>
        </w:rPr>
      </w:pPr>
    </w:p>
    <w:p>
      <w:pPr>
        <w:pStyle w:val="P11"/>
        <w:ind w:hanging="426" w:left="426"/>
        <w:rPr>
          <w:rStyle w:val="C3"/>
          <w:b w:val="1"/>
          <w:u w:val="single"/>
        </w:rPr>
      </w:pPr>
    </w:p>
    <w:p>
      <w:pPr>
        <w:pStyle w:val="P11"/>
        <w:ind w:hanging="426" w:left="426"/>
        <w:rPr>
          <w:rStyle w:val="C3"/>
          <w:b w:val="1"/>
          <w:u w:val="single"/>
        </w:rPr>
      </w:pPr>
    </w:p>
    <w:p>
      <w:pPr>
        <w:pStyle w:val="P11"/>
        <w:ind w:hanging="426" w:left="426"/>
        <w:rPr>
          <w:rStyle w:val="C3"/>
          <w:b w:val="1"/>
          <w:u w:val="single"/>
        </w:rPr>
      </w:pPr>
    </w:p>
    <w:p>
      <w:pPr>
        <w:pStyle w:val="P11"/>
        <w:ind w:hanging="426" w:left="426"/>
        <w:rPr>
          <w:rStyle w:val="C3"/>
          <w:b w:val="1"/>
          <w:u w:val="single"/>
        </w:rPr>
      </w:pPr>
    </w:p>
    <w:p>
      <w:pPr>
        <w:pStyle w:val="P11"/>
        <w:ind w:hanging="426" w:left="426"/>
        <w:rPr>
          <w:rStyle w:val="C3"/>
          <w:b w:val="1"/>
          <w:u w:val="single"/>
        </w:rPr>
      </w:pPr>
    </w:p>
    <w:p>
      <w:pPr>
        <w:pStyle w:val="P11"/>
        <w:ind w:hanging="426" w:left="426"/>
        <w:rPr>
          <w:rStyle w:val="C3"/>
          <w:b w:val="1"/>
          <w:u w:val="single"/>
        </w:rPr>
      </w:pPr>
    </w:p>
    <w:p>
      <w:pPr>
        <w:pStyle w:val="P11"/>
        <w:ind w:hanging="426" w:left="426"/>
        <w:rPr>
          <w:rStyle w:val="C3"/>
          <w:b w:val="1"/>
          <w:u w:val="single"/>
        </w:rPr>
      </w:pPr>
    </w:p>
    <w:p>
      <w:pPr>
        <w:pStyle w:val="P16"/>
        <w:ind w:left="113"/>
        <w:jc w:val="center"/>
        <w:rPr>
          <w:rStyle w:val="C3"/>
          <w:b w:val="1"/>
          <w:sz w:val="24"/>
        </w:rPr>
      </w:pPr>
      <w:r>
        <w:rPr>
          <w:rStyle w:val="C3"/>
          <w:rFonts w:ascii="JaneAusten" w:hAnsi="JaneAusten"/>
          <w:b w:val="0"/>
          <w:sz w:val="24"/>
        </w:rPr>
        <w:t>“2010 Año del Bicentenario de la Revolución de Mayo”</w:t>
      </w:r>
    </w:p>
    <w:p>
      <w:pPr>
        <w:ind w:left="567"/>
        <w:rPr>
          <w:rStyle w:val="C3"/>
          <w:rFonts w:ascii="Courier New" w:hAnsi="Courier New"/>
        </w:rPr>
      </w:pPr>
    </w:p>
    <w:p>
      <w:pPr>
        <w:rPr>
          <w:rStyle w:val="C3"/>
          <w:rFonts w:ascii="Courier New" w:hAnsi="Courier New"/>
        </w:rPr>
      </w:pPr>
      <w:r>
        <w:rPr>
          <w:rStyle w:val="C3"/>
          <w:rFonts w:ascii="Courier New" w:hAnsi="Courier New"/>
        </w:rPr>
        <w:t>...///3.-</w:t>
      </w:r>
    </w:p>
    <w:p>
      <w:pPr>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Art.2</w:t>
      </w:r>
      <w:r>
        <w:rPr>
          <w:rStyle w:val="C3"/>
          <w:rFonts w:ascii="Courier New" w:hAnsi="Courier New"/>
          <w:b w:val="1"/>
        </w:rPr>
        <w:t>:</w:t>
      </w:r>
      <w:r>
        <w:rPr>
          <w:rStyle w:val="C3"/>
          <w:rFonts w:ascii="Courier New" w:hAnsi="Courier New"/>
        </w:rPr>
        <w:t xml:space="preserve"> </w:t>
      </w:r>
      <w:r>
        <w:rPr>
          <w:rStyle w:val="C3"/>
          <w:rFonts w:ascii="Courier New" w:hAnsi="Courier New"/>
          <w:b w:val="1"/>
        </w:rPr>
        <w:t>APLICAR</w:t>
      </w:r>
      <w:r>
        <w:rPr>
          <w:rStyle w:val="C3"/>
          <w:rFonts w:ascii="Courier New" w:hAnsi="Courier New"/>
        </w:rPr>
        <w:t xml:space="preserve"> los beneficios de  la Ordenanza Nº 8663, a los efectos del cálculo de la estadía correspondiente  del moto vehículo</w:t>
      </w:r>
      <w:r>
        <w:t xml:space="preserve"> </w:t>
      </w:r>
      <w:r>
        <w:rPr>
          <w:rStyle w:val="C3"/>
          <w:rFonts w:ascii="Courier New" w:hAnsi="Courier New"/>
        </w:rPr>
        <w:t>dominio 251 DFP</w:t>
      </w:r>
      <w:r>
        <w:t xml:space="preserve">, </w:t>
      </w:r>
      <w:r>
        <w:rPr>
          <w:rStyle w:val="C3"/>
          <w:rFonts w:ascii="Courier New" w:hAnsi="Courier New"/>
        </w:rPr>
        <w:t xml:space="preserve"> sin recargos ni intereses, desde el día 04 de Diciembre 2009 hasta  el día 10 de Marzo de 2010.-  </w:t>
      </w:r>
    </w:p>
    <w:p>
      <w:pPr>
        <w:ind w:hanging="426" w:left="426"/>
        <w:jc w:val="both"/>
        <w:rPr>
          <w:rStyle w:val="C3"/>
          <w:rFonts w:ascii="Courier New" w:hAnsi="Courier New"/>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20"/>
        <w:jc w:val="both"/>
        <w:rPr>
          <w:rStyle w:val="C3"/>
          <w:sz w:val="24"/>
        </w:rPr>
      </w:pPr>
    </w:p>
    <w:p>
      <w:pPr>
        <w:pStyle w:val="P17"/>
      </w:pPr>
      <w:r>
        <w:t xml:space="preserve">DADA EN LA SALA DE SESIONES DEL HONORABLE CONCEJO DELIBERANTE A LOS CUATRO DÍAS DEL MES DE AGOSTO DEL AÑO DOS MIL DIEZ.-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r>
        <w:rPr>
          <w:rStyle w:val="C3"/>
          <w:rFonts w:ascii="Courier New" w:hAnsi="Courier New"/>
          <w:b w:val="1"/>
          <w:u w:val="single"/>
        </w:rPr>
        <w:t xml:space="preserve">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
    <w:nsid w:val="145A66F1"/>
    <w:multiLevelType w:val="hybridMultilevel"/>
    <w:lvl w:ilvl="0" w:tplc="123AF511">
      <w:start w:val="0"/>
      <w:numFmt w:val="bullet"/>
      <w:suff w:val="tab"/>
      <w:lvlText w:val=""/>
      <w:lvlJc w:val="left"/>
      <w:pPr>
        <w:ind w:hanging="360" w:left="927"/>
      </w:pPr>
      <w:rPr>
        <w:rFonts w:ascii="Symbol" w:hAnsi="Symbol"/>
      </w:rPr>
    </w:lvl>
    <w:lvl w:ilvl="1" w:tplc="3787D811">
      <w:start w:val="1"/>
      <w:numFmt w:val="bullet"/>
      <w:suff w:val="tab"/>
      <w:lvlText w:val="o"/>
      <w:lvlJc w:val="left"/>
      <w:pPr>
        <w:ind w:hanging="360" w:left="1647"/>
      </w:pPr>
      <w:rPr>
        <w:rFonts w:ascii="Courier New" w:hAnsi="Courier New"/>
      </w:rPr>
    </w:lvl>
    <w:lvl w:ilvl="2" w:tplc="3D666B57">
      <w:start w:val="1"/>
      <w:numFmt w:val="bullet"/>
      <w:suff w:val="tab"/>
      <w:lvlText w:val=""/>
      <w:lvlJc w:val="left"/>
      <w:pPr>
        <w:ind w:hanging="360" w:left="2367"/>
      </w:pPr>
      <w:rPr>
        <w:rFonts w:ascii="Wingdings" w:hAnsi="Wingdings"/>
      </w:rPr>
    </w:lvl>
    <w:lvl w:ilvl="3" w:tplc="6CCE935A">
      <w:start w:val="1"/>
      <w:numFmt w:val="bullet"/>
      <w:suff w:val="tab"/>
      <w:lvlText w:val=""/>
      <w:lvlJc w:val="left"/>
      <w:pPr>
        <w:ind w:hanging="360" w:left="3087"/>
      </w:pPr>
      <w:rPr>
        <w:rFonts w:ascii="Symbol" w:hAnsi="Symbol"/>
      </w:rPr>
    </w:lvl>
    <w:lvl w:ilvl="4" w:tplc="5DE30090">
      <w:start w:val="1"/>
      <w:numFmt w:val="bullet"/>
      <w:suff w:val="tab"/>
      <w:lvlText w:val="o"/>
      <w:lvlJc w:val="left"/>
      <w:pPr>
        <w:ind w:hanging="360" w:left="3807"/>
      </w:pPr>
      <w:rPr>
        <w:rFonts w:ascii="Courier New" w:hAnsi="Courier New"/>
      </w:rPr>
    </w:lvl>
    <w:lvl w:ilvl="5" w:tplc="4CD976B5">
      <w:start w:val="1"/>
      <w:numFmt w:val="bullet"/>
      <w:suff w:val="tab"/>
      <w:lvlText w:val=""/>
      <w:lvlJc w:val="left"/>
      <w:pPr>
        <w:ind w:hanging="360" w:left="4527"/>
      </w:pPr>
      <w:rPr>
        <w:rFonts w:ascii="Wingdings" w:hAnsi="Wingdings"/>
      </w:rPr>
    </w:lvl>
    <w:lvl w:ilvl="6" w:tplc="210D95A3">
      <w:start w:val="1"/>
      <w:numFmt w:val="bullet"/>
      <w:suff w:val="tab"/>
      <w:lvlText w:val=""/>
      <w:lvlJc w:val="left"/>
      <w:pPr>
        <w:ind w:hanging="360" w:left="5247"/>
      </w:pPr>
      <w:rPr>
        <w:rFonts w:ascii="Symbol" w:hAnsi="Symbol"/>
      </w:rPr>
    </w:lvl>
    <w:lvl w:ilvl="7" w:tplc="333EF21D">
      <w:start w:val="1"/>
      <w:numFmt w:val="bullet"/>
      <w:suff w:val="tab"/>
      <w:lvlText w:val="o"/>
      <w:lvlJc w:val="left"/>
      <w:pPr>
        <w:ind w:hanging="360" w:left="5967"/>
      </w:pPr>
      <w:rPr>
        <w:rFonts w:ascii="Courier New" w:hAnsi="Courier New"/>
      </w:rPr>
    </w:lvl>
    <w:lvl w:ilvl="8" w:tplc="7B8A4C91">
      <w:start w:val="1"/>
      <w:numFmt w:val="bullet"/>
      <w:suff w:val="tab"/>
      <w:lvlText w:val=""/>
      <w:lvlJc w:val="left"/>
      <w:pPr>
        <w:ind w:hanging="360" w:left="6687"/>
      </w:pPr>
      <w:rPr>
        <w:rFonts w:ascii="Wingdings" w:hAnsi="Wingdings"/>
      </w:rPr>
    </w:lvl>
  </w:abstractNum>
  <w:abstractNum w:abstractNumId="4">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6">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7">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8">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0">
    <w:nsid w:val="3A700CB9"/>
    <w:multiLevelType w:val="hybridMultilevel"/>
    <w:lvl w:ilvl="0" w:tplc="535547DB">
      <w:start w:val="1"/>
      <w:numFmt w:val="bullet"/>
      <w:suff w:val="tab"/>
      <w:lvlText w:val=""/>
      <w:lvlJc w:val="left"/>
      <w:pPr>
        <w:ind w:hanging="360" w:left="720"/>
        <w:tabs>
          <w:tab w:val="left" w:pos="720" w:leader="none"/>
        </w:tabs>
      </w:pPr>
      <w:rPr>
        <w:rFonts w:ascii="Symbol" w:hAnsi="Symbol"/>
      </w:rPr>
    </w:lvl>
    <w:lvl w:ilvl="1" w:tplc="4C692EBA">
      <w:start w:val="1"/>
      <w:numFmt w:val="bullet"/>
      <w:suff w:val="tab"/>
      <w:lvlText w:val="o"/>
      <w:lvlJc w:val="left"/>
      <w:pPr>
        <w:ind w:hanging="360" w:left="1440"/>
        <w:tabs>
          <w:tab w:val="left" w:pos="1440" w:leader="none"/>
        </w:tabs>
      </w:pPr>
      <w:rPr>
        <w:rFonts w:ascii="Courier New" w:hAnsi="Courier New"/>
      </w:rPr>
    </w:lvl>
    <w:lvl w:ilvl="2" w:tplc="09EFEF18">
      <w:start w:val="1"/>
      <w:numFmt w:val="bullet"/>
      <w:suff w:val="tab"/>
      <w:lvlText w:val=""/>
      <w:lvlJc w:val="left"/>
      <w:pPr>
        <w:ind w:hanging="360" w:left="2160"/>
        <w:tabs>
          <w:tab w:val="left" w:pos="2160" w:leader="none"/>
        </w:tabs>
      </w:pPr>
      <w:rPr>
        <w:rFonts w:ascii="Wingdings" w:hAnsi="Wingdings"/>
      </w:rPr>
    </w:lvl>
    <w:lvl w:ilvl="3" w:tplc="51B17BA4">
      <w:start w:val="1"/>
      <w:numFmt w:val="bullet"/>
      <w:suff w:val="tab"/>
      <w:lvlText w:val=""/>
      <w:lvlJc w:val="left"/>
      <w:pPr>
        <w:ind w:hanging="360" w:left="2880"/>
        <w:tabs>
          <w:tab w:val="left" w:pos="2880" w:leader="none"/>
        </w:tabs>
      </w:pPr>
      <w:rPr>
        <w:rFonts w:ascii="Symbol" w:hAnsi="Symbol"/>
      </w:rPr>
    </w:lvl>
    <w:lvl w:ilvl="4" w:tplc="3E9EDAA0">
      <w:start w:val="1"/>
      <w:numFmt w:val="bullet"/>
      <w:suff w:val="tab"/>
      <w:lvlText w:val="o"/>
      <w:lvlJc w:val="left"/>
      <w:pPr>
        <w:ind w:hanging="360" w:left="3600"/>
        <w:tabs>
          <w:tab w:val="left" w:pos="3600" w:leader="none"/>
        </w:tabs>
      </w:pPr>
      <w:rPr>
        <w:rFonts w:ascii="Courier New" w:hAnsi="Courier New"/>
      </w:rPr>
    </w:lvl>
    <w:lvl w:ilvl="5" w:tplc="04411CA4">
      <w:start w:val="1"/>
      <w:numFmt w:val="bullet"/>
      <w:suff w:val="tab"/>
      <w:lvlText w:val=""/>
      <w:lvlJc w:val="left"/>
      <w:pPr>
        <w:ind w:hanging="360" w:left="4320"/>
        <w:tabs>
          <w:tab w:val="left" w:pos="4320" w:leader="none"/>
        </w:tabs>
      </w:pPr>
      <w:rPr>
        <w:rFonts w:ascii="Wingdings" w:hAnsi="Wingdings"/>
      </w:rPr>
    </w:lvl>
    <w:lvl w:ilvl="6" w:tplc="1DC52F34">
      <w:start w:val="1"/>
      <w:numFmt w:val="bullet"/>
      <w:suff w:val="tab"/>
      <w:lvlText w:val=""/>
      <w:lvlJc w:val="left"/>
      <w:pPr>
        <w:ind w:hanging="360" w:left="5040"/>
        <w:tabs>
          <w:tab w:val="left" w:pos="5040" w:leader="none"/>
        </w:tabs>
      </w:pPr>
      <w:rPr>
        <w:rFonts w:ascii="Symbol" w:hAnsi="Symbol"/>
      </w:rPr>
    </w:lvl>
    <w:lvl w:ilvl="7" w:tplc="22759B75">
      <w:start w:val="1"/>
      <w:numFmt w:val="bullet"/>
      <w:suff w:val="tab"/>
      <w:lvlText w:val="o"/>
      <w:lvlJc w:val="left"/>
      <w:pPr>
        <w:ind w:hanging="360" w:left="5760"/>
        <w:tabs>
          <w:tab w:val="left" w:pos="5760" w:leader="none"/>
        </w:tabs>
      </w:pPr>
      <w:rPr>
        <w:rFonts w:ascii="Courier New" w:hAnsi="Courier New"/>
      </w:rPr>
    </w:lvl>
    <w:lvl w:ilvl="8" w:tplc="5CDC9E07">
      <w:start w:val="1"/>
      <w:numFmt w:val="bullet"/>
      <w:suff w:val="tab"/>
      <w:lvlText w:val=""/>
      <w:lvlJc w:val="left"/>
      <w:pPr>
        <w:ind w:hanging="360" w:left="6480"/>
        <w:tabs>
          <w:tab w:val="left" w:pos="6480" w:leader="none"/>
        </w:tabs>
      </w:pPr>
      <w:rPr>
        <w:rFonts w:ascii="Wingdings" w:hAnsi="Wingdings"/>
      </w:rPr>
    </w:lvl>
  </w:abstractNum>
  <w:abstractNum w:abstractNumId="11">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2">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3">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4">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15">
    <w:nsid w:val="5A042302"/>
    <w:multiLevelType w:val="hybridMultilevel"/>
    <w:lvl w:ilvl="0" w:tplc="04F3DD54">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6">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7">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8">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9">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0">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1">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3">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4"/>
  </w:num>
  <w:num w:numId="2">
    <w:abstractNumId w:val="6"/>
  </w:num>
  <w:num w:numId="3">
    <w:abstractNumId w:val="9"/>
  </w:num>
  <w:num w:numId="4">
    <w:abstractNumId w:val="17"/>
  </w:num>
  <w:num w:numId="5">
    <w:abstractNumId w:val="21"/>
  </w:num>
  <w:num w:numId="6">
    <w:abstractNumId w:val="4"/>
  </w:num>
  <w:num w:numId="7">
    <w:abstractNumId w:val="16"/>
  </w:num>
  <w:num w:numId="8">
    <w:abstractNumId w:val="1"/>
  </w:num>
  <w:num w:numId="9">
    <w:abstractNumId w:val="3"/>
  </w:num>
  <w:num w:numId="10">
    <w:abstractNumId w:val="5"/>
  </w:num>
  <w:num w:numId="11">
    <w:abstractNumId w:val="12"/>
  </w:num>
  <w:num w:numId="12">
    <w:abstractNumId w:val="13"/>
  </w:num>
  <w:num w:numId="13">
    <w:abstractNumId w:val="24"/>
  </w:num>
  <w:num w:numId="14">
    <w:abstractNumId w:val="20"/>
  </w:num>
  <w:num w:numId="15">
    <w:abstractNumId w:val="19"/>
  </w:num>
  <w:num w:numId="16">
    <w:abstractNumId w:val="10"/>
  </w:num>
  <w:num w:numId="17">
    <w:abstractNumId w:val="11"/>
  </w:num>
  <w:num w:numId="18">
    <w:abstractNumId w:val="22"/>
  </w:num>
  <w:num w:numId="19">
    <w:abstractNumId w:val="7"/>
  </w:num>
  <w:num w:numId="20">
    <w:abstractNumId w:val="2"/>
  </w:num>
  <w:num w:numId="21">
    <w:abstractNumId w:val="0"/>
  </w:num>
  <w:num w:numId="22">
    <w:abstractNumId w:val="15"/>
  </w:num>
  <w:num w:numId="23">
    <w:abstractNumId w:val="23"/>
  </w:num>
  <w:num w:numId="24">
    <w:abstractNumId w:val="18"/>
  </w:num>
  <w:num w:numId="25">
    <w:abstractNumId w:val="8"/>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9"/>
    <w:pPr>
      <w:tabs>
        <w:tab w:val="center" w:pos="4419" w:leader="none"/>
        <w:tab w:val="right" w:pos="8838" w:leader="none"/>
      </w:tabs>
    </w:pPr>
    <w:rPr>
      <w:sz w:val="20"/>
    </w:rPr>
  </w:style>
  <w:style w:type="paragraph" w:styleId="P30">
    <w:name w:val="Texto independiente primera sangría"/>
    <w:basedOn w:val="P11"/>
    <w:next w:val="P30"/>
    <w:link w:val="C10"/>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Pie de página Car"/>
    <w:basedOn w:val="C3"/>
    <w:link w:val="P29"/>
    <w:rPr>
      <w:sz w:val="20"/>
    </w:rPr>
  </w:style>
  <w:style w:type="character" w:styleId="C10">
    <w:name w:val="Texto independiente primera sangría Car"/>
    <w:basedOn w:val="C5"/>
    <w:link w:val="P30"/>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2010-08-06T13:09:00Z</dcterms:created>
  <cp:lastModifiedBy>Ethan Puglia</cp:lastModifiedBy>
  <cp:lastPrinted>2010-08-06T13:00:00Z</cp:lastPrinted>
  <dcterms:modified xsi:type="dcterms:W3CDTF">2019-03-28T17:34:22Z</dcterms:modified>
  <cp:revision>5</cp:revision>
  <dc:title>PROYECTO DE ORDENANZA VIOLENCIA FAMILIAR</dc:title>
</cp:coreProperties>
</file>