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C1DDAB0" Type="http://schemas.openxmlformats.org/officeDocument/2006/relationships/officeDocument" Target="/word/document.xml" /><Relationship Id="coreR1C1DDAB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8680</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1896/02;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pStyle w:val="P12"/>
        <w:ind w:left="567"/>
      </w:pPr>
      <w:r>
        <w:t xml:space="preserve">Que mediante el mencionado instrumento administrativo,  el Sr. Raúl Leyria solicita exención de Tasa por Servicios a la Propiedad;</w:t>
      </w:r>
    </w:p>
    <w:p>
      <w:pPr>
        <w:pStyle w:val="P12"/>
        <w:ind w:left="567"/>
      </w:pPr>
    </w:p>
    <w:p>
      <w:pPr>
        <w:pStyle w:val="P12"/>
        <w:ind w:left="567"/>
      </w:pPr>
      <w:r>
        <w:t xml:space="preserve">Que el Relevamiento Socioeconómico y Ambiental realizado indica que se trata de una persona de avanzada edad que vive solo, es jubilado y  presenta problemas de salud;</w:t>
      </w:r>
    </w:p>
    <w:p>
      <w:pPr>
        <w:pStyle w:val="P12"/>
        <w:ind w:left="567"/>
      </w:pPr>
    </w:p>
    <w:p>
      <w:pPr>
        <w:pStyle w:val="P12"/>
        <w:ind w:left="567"/>
      </w:pPr>
      <w:r>
        <w:t xml:space="preserve">Que a través de la Ordenanza N° 6787, N° 7522 y  Resolución N° 113/03 de la Dirección de Ingresos Públicos, se la concedieron beneficios especiales que el Sr. Leyria no pudo cumplimentar;</w:t>
      </w:r>
    </w:p>
    <w:p>
      <w:pPr>
        <w:pStyle w:val="P12"/>
        <w:ind w:left="567"/>
      </w:pPr>
    </w:p>
    <w:p>
      <w:pPr>
        <w:pStyle w:val="P12"/>
        <w:ind w:left="567"/>
      </w:pPr>
      <w:r>
        <w:t>Que el Sr. Leyria acredita una discapacidad del NOVENTA POR CIENTO (90%), de carácter total y permanente mediante certificado médico (Fs.14) expedido por el Hospital A. Illia;</w:t>
      </w:r>
    </w:p>
    <w:p>
      <w:pPr>
        <w:pStyle w:val="P12"/>
        <w:ind w:left="567"/>
      </w:pPr>
      <w:r>
        <w:t xml:space="preserve"> </w:t>
      </w:r>
    </w:p>
    <w:p>
      <w:pPr>
        <w:pStyle w:val="P12"/>
        <w:ind w:left="567"/>
      </w:pPr>
      <w:r>
        <w:t>Que a Fs.24 y 46 obra copia de Resolución de la Dirección de Rentas del Ministerio de Finanzas de Córdoba por la que se lo declara exento de pago respecto al Impuesto Inmobiliario para los períodos no abonados y no prescriptos a partir del 01 de Enero del año 2000;</w:t>
      </w:r>
    </w:p>
    <w:p>
      <w:pPr>
        <w:pStyle w:val="P12"/>
        <w:ind w:left="567"/>
      </w:pPr>
    </w:p>
    <w:p>
      <w:pPr>
        <w:pStyle w:val="P12"/>
        <w:ind w:left="567"/>
      </w:pPr>
      <w:r>
        <w:t>Que dicha exención regirá mientras perduren las circunstancias que le dieron origen;</w:t>
      </w:r>
    </w:p>
    <w:p>
      <w:pPr>
        <w:pStyle w:val="P13"/>
        <w:tabs>
          <w:tab w:val="left" w:pos="-993" w:leader="none"/>
          <w:tab w:val="left" w:pos="567" w:leader="none"/>
        </w:tabs>
        <w:ind w:firstLine="0" w:left="567"/>
      </w:pPr>
      <w:r>
        <w:t xml:space="preserve">    </w:t>
      </w:r>
    </w:p>
    <w:p>
      <w:pPr>
        <w:ind w:left="567"/>
        <w:jc w:val="right"/>
        <w:rPr>
          <w:rStyle w:val="C3"/>
          <w:rFonts w:ascii="Courier New" w:hAnsi="Courier New"/>
        </w:rPr>
      </w:pPr>
      <w:r>
        <w:rPr>
          <w:rStyle w:val="C3"/>
          <w:rFonts w:ascii="Courier New" w:hAnsi="Courier New"/>
        </w:rPr>
        <w:t>...///</w:t>
      </w: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ind w:left="567"/>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567"/>
        <w:rPr>
          <w:rStyle w:val="C3"/>
          <w:rFonts w:ascii="Courier New" w:hAnsi="Courier New"/>
        </w:rPr>
      </w:pPr>
    </w:p>
    <w:p>
      <w:pPr>
        <w:rPr>
          <w:rStyle w:val="C3"/>
          <w:rFonts w:ascii="Courier New" w:hAnsi="Courier New"/>
        </w:rPr>
      </w:pPr>
      <w:r>
        <w:rPr>
          <w:rStyle w:val="C3"/>
          <w:rFonts w:ascii="Courier New" w:hAnsi="Courier New"/>
        </w:rPr>
        <w:t>...///2.-</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04 de Agosto de 2010.-</w:t>
      </w:r>
    </w:p>
    <w:p>
      <w:pPr>
        <w:ind w:left="709"/>
        <w:jc w:val="both"/>
        <w:rPr>
          <w:rStyle w:val="C3"/>
          <w:rFonts w:ascii="Courier New" w:hAnsi="Courier New"/>
        </w:rPr>
      </w:pPr>
    </w:p>
    <w:p>
      <w:pPr>
        <w:ind w:left="709"/>
        <w:jc w:val="both"/>
        <w:rPr>
          <w:rStyle w:val="C3"/>
          <w:rFonts w:ascii="Courier New" w:hAnsi="Courier New"/>
        </w:rPr>
      </w:pPr>
    </w:p>
    <w:p>
      <w:pPr>
        <w:tabs>
          <w:tab w:val="left" w:pos="3909" w:leader="none"/>
        </w:tabs>
        <w:ind w:left="567"/>
        <w:jc w:val="right"/>
        <w:rPr>
          <w:rStyle w:val="C3"/>
          <w:rFonts w:ascii="Courier New" w:hAnsi="Courier New"/>
        </w:rPr>
      </w:pPr>
      <w:r>
        <w:rPr>
          <w:rStyle w:val="C3"/>
          <w:rFonts w:ascii="Courier New" w:hAnsi="Courier New"/>
        </w:rPr>
        <w:t xml:space="preserve">         </w:t>
      </w: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del pago de la  Tasa por Servicios a la Propiedad, al inmueble Designación Catastral 01-01-169-002-000, Cta.00008495, los periodos no abonados y no prescriptos hasta la promulgación de la presente.-</w:t>
      </w:r>
    </w:p>
    <w:p>
      <w:pPr>
        <w:pStyle w:val="P11"/>
        <w:ind w:hanging="426" w:left="426"/>
        <w:jc w:val="right"/>
        <w:rPr>
          <w:rStyle w:val="C3"/>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CONCEDER</w:t>
      </w:r>
      <w:r>
        <w:rPr>
          <w:rStyle w:val="C3"/>
          <w:rFonts w:ascii="Courier New" w:hAnsi="Courier New"/>
        </w:rPr>
        <w:t xml:space="preserve"> el beneficio precedente mientras no se modifiquen las circunstancias que le dieron origen.-  </w:t>
      </w:r>
    </w:p>
    <w:p>
      <w:pPr>
        <w:ind w:hanging="426" w:left="426"/>
        <w:jc w:val="both"/>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SOLICITAR</w:t>
      </w:r>
      <w:r>
        <w:rPr>
          <w:rStyle w:val="C3"/>
          <w:rFonts w:ascii="Courier New" w:hAnsi="Courier New"/>
        </w:rPr>
        <w:t xml:space="preserve"> al Sr. Intendente, interceda ante el o los procuradores actuantes a fin de dejar sin efecto el o los juicios iniciados y honorarios generados,  exceptuando gastos y derechos de ley a tales fines.-</w:t>
      </w:r>
    </w:p>
    <w:p>
      <w:pPr>
        <w:ind w:hanging="426"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CUATRO DÍAS DEL MES DE AGOSTO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5A66F1"/>
    <w:multiLevelType w:val="hybridMultilevel"/>
    <w:lvl w:ilvl="0" w:tplc="2E708D37">
      <w:start w:val="0"/>
      <w:numFmt w:val="bullet"/>
      <w:suff w:val="tab"/>
      <w:lvlText w:val=""/>
      <w:lvlJc w:val="left"/>
      <w:pPr>
        <w:ind w:hanging="360" w:left="927"/>
      </w:pPr>
      <w:rPr>
        <w:rFonts w:ascii="Symbol" w:hAnsi="Symbol"/>
      </w:rPr>
    </w:lvl>
    <w:lvl w:ilvl="1" w:tplc="3055747B">
      <w:start w:val="1"/>
      <w:numFmt w:val="bullet"/>
      <w:suff w:val="tab"/>
      <w:lvlText w:val="o"/>
      <w:lvlJc w:val="left"/>
      <w:pPr>
        <w:ind w:hanging="360" w:left="1647"/>
      </w:pPr>
      <w:rPr>
        <w:rFonts w:ascii="Courier New" w:hAnsi="Courier New"/>
      </w:rPr>
    </w:lvl>
    <w:lvl w:ilvl="2" w:tplc="78FC9C2E">
      <w:start w:val="1"/>
      <w:numFmt w:val="bullet"/>
      <w:suff w:val="tab"/>
      <w:lvlText w:val=""/>
      <w:lvlJc w:val="left"/>
      <w:pPr>
        <w:ind w:hanging="360" w:left="2367"/>
      </w:pPr>
      <w:rPr>
        <w:rFonts w:ascii="Wingdings" w:hAnsi="Wingdings"/>
      </w:rPr>
    </w:lvl>
    <w:lvl w:ilvl="3" w:tplc="41BAFAF5">
      <w:start w:val="1"/>
      <w:numFmt w:val="bullet"/>
      <w:suff w:val="tab"/>
      <w:lvlText w:val=""/>
      <w:lvlJc w:val="left"/>
      <w:pPr>
        <w:ind w:hanging="360" w:left="3087"/>
      </w:pPr>
      <w:rPr>
        <w:rFonts w:ascii="Symbol" w:hAnsi="Symbol"/>
      </w:rPr>
    </w:lvl>
    <w:lvl w:ilvl="4" w:tplc="7E6DB523">
      <w:start w:val="1"/>
      <w:numFmt w:val="bullet"/>
      <w:suff w:val="tab"/>
      <w:lvlText w:val="o"/>
      <w:lvlJc w:val="left"/>
      <w:pPr>
        <w:ind w:hanging="360" w:left="3807"/>
      </w:pPr>
      <w:rPr>
        <w:rFonts w:ascii="Courier New" w:hAnsi="Courier New"/>
      </w:rPr>
    </w:lvl>
    <w:lvl w:ilvl="5" w:tplc="550EDAC9">
      <w:start w:val="1"/>
      <w:numFmt w:val="bullet"/>
      <w:suff w:val="tab"/>
      <w:lvlText w:val=""/>
      <w:lvlJc w:val="left"/>
      <w:pPr>
        <w:ind w:hanging="360" w:left="4527"/>
      </w:pPr>
      <w:rPr>
        <w:rFonts w:ascii="Wingdings" w:hAnsi="Wingdings"/>
      </w:rPr>
    </w:lvl>
    <w:lvl w:ilvl="6" w:tplc="02530E5B">
      <w:start w:val="1"/>
      <w:numFmt w:val="bullet"/>
      <w:suff w:val="tab"/>
      <w:lvlText w:val=""/>
      <w:lvlJc w:val="left"/>
      <w:pPr>
        <w:ind w:hanging="360" w:left="5247"/>
      </w:pPr>
      <w:rPr>
        <w:rFonts w:ascii="Symbol" w:hAnsi="Symbol"/>
      </w:rPr>
    </w:lvl>
    <w:lvl w:ilvl="7" w:tplc="05F2DA46">
      <w:start w:val="1"/>
      <w:numFmt w:val="bullet"/>
      <w:suff w:val="tab"/>
      <w:lvlText w:val="o"/>
      <w:lvlJc w:val="left"/>
      <w:pPr>
        <w:ind w:hanging="360" w:left="5967"/>
      </w:pPr>
      <w:rPr>
        <w:rFonts w:ascii="Courier New" w:hAnsi="Courier New"/>
      </w:rPr>
    </w:lvl>
    <w:lvl w:ilvl="8" w:tplc="7540B6F3">
      <w:start w:val="1"/>
      <w:numFmt w:val="bullet"/>
      <w:suff w:val="tab"/>
      <w:lvlText w:val=""/>
      <w:lvlJc w:val="left"/>
      <w:pPr>
        <w:ind w:hanging="360" w:left="6687"/>
      </w:pPr>
      <w:rPr>
        <w:rFonts w:ascii="Wingdings" w:hAnsi="Wingdings"/>
      </w:rPr>
    </w:lvl>
  </w:abstractNum>
  <w:abstractNum w:abstractNumId="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0">
    <w:nsid w:val="3A700CB9"/>
    <w:multiLevelType w:val="hybridMultilevel"/>
    <w:lvl w:ilvl="0" w:tplc="7D8695F8">
      <w:start w:val="1"/>
      <w:numFmt w:val="bullet"/>
      <w:suff w:val="tab"/>
      <w:lvlText w:val=""/>
      <w:lvlJc w:val="left"/>
      <w:pPr>
        <w:ind w:hanging="360" w:left="720"/>
        <w:tabs>
          <w:tab w:val="left" w:pos="720" w:leader="none"/>
        </w:tabs>
      </w:pPr>
      <w:rPr>
        <w:rFonts w:ascii="Symbol" w:hAnsi="Symbol"/>
      </w:rPr>
    </w:lvl>
    <w:lvl w:ilvl="1" w:tplc="49016F01">
      <w:start w:val="1"/>
      <w:numFmt w:val="bullet"/>
      <w:suff w:val="tab"/>
      <w:lvlText w:val="o"/>
      <w:lvlJc w:val="left"/>
      <w:pPr>
        <w:ind w:hanging="360" w:left="1440"/>
        <w:tabs>
          <w:tab w:val="left" w:pos="1440" w:leader="none"/>
        </w:tabs>
      </w:pPr>
      <w:rPr>
        <w:rFonts w:ascii="Courier New" w:hAnsi="Courier New"/>
      </w:rPr>
    </w:lvl>
    <w:lvl w:ilvl="2" w:tplc="162FBFB5">
      <w:start w:val="1"/>
      <w:numFmt w:val="bullet"/>
      <w:suff w:val="tab"/>
      <w:lvlText w:val=""/>
      <w:lvlJc w:val="left"/>
      <w:pPr>
        <w:ind w:hanging="360" w:left="2160"/>
        <w:tabs>
          <w:tab w:val="left" w:pos="2160" w:leader="none"/>
        </w:tabs>
      </w:pPr>
      <w:rPr>
        <w:rFonts w:ascii="Wingdings" w:hAnsi="Wingdings"/>
      </w:rPr>
    </w:lvl>
    <w:lvl w:ilvl="3" w:tplc="68F70CE8">
      <w:start w:val="1"/>
      <w:numFmt w:val="bullet"/>
      <w:suff w:val="tab"/>
      <w:lvlText w:val=""/>
      <w:lvlJc w:val="left"/>
      <w:pPr>
        <w:ind w:hanging="360" w:left="2880"/>
        <w:tabs>
          <w:tab w:val="left" w:pos="2880" w:leader="none"/>
        </w:tabs>
      </w:pPr>
      <w:rPr>
        <w:rFonts w:ascii="Symbol" w:hAnsi="Symbol"/>
      </w:rPr>
    </w:lvl>
    <w:lvl w:ilvl="4" w:tplc="1A229F55">
      <w:start w:val="1"/>
      <w:numFmt w:val="bullet"/>
      <w:suff w:val="tab"/>
      <w:lvlText w:val="o"/>
      <w:lvlJc w:val="left"/>
      <w:pPr>
        <w:ind w:hanging="360" w:left="3600"/>
        <w:tabs>
          <w:tab w:val="left" w:pos="3600" w:leader="none"/>
        </w:tabs>
      </w:pPr>
      <w:rPr>
        <w:rFonts w:ascii="Courier New" w:hAnsi="Courier New"/>
      </w:rPr>
    </w:lvl>
    <w:lvl w:ilvl="5" w:tplc="7E72F9D1">
      <w:start w:val="1"/>
      <w:numFmt w:val="bullet"/>
      <w:suff w:val="tab"/>
      <w:lvlText w:val=""/>
      <w:lvlJc w:val="left"/>
      <w:pPr>
        <w:ind w:hanging="360" w:left="4320"/>
        <w:tabs>
          <w:tab w:val="left" w:pos="4320" w:leader="none"/>
        </w:tabs>
      </w:pPr>
      <w:rPr>
        <w:rFonts w:ascii="Wingdings" w:hAnsi="Wingdings"/>
      </w:rPr>
    </w:lvl>
    <w:lvl w:ilvl="6" w:tplc="3DC08429">
      <w:start w:val="1"/>
      <w:numFmt w:val="bullet"/>
      <w:suff w:val="tab"/>
      <w:lvlText w:val=""/>
      <w:lvlJc w:val="left"/>
      <w:pPr>
        <w:ind w:hanging="360" w:left="5040"/>
        <w:tabs>
          <w:tab w:val="left" w:pos="5040" w:leader="none"/>
        </w:tabs>
      </w:pPr>
      <w:rPr>
        <w:rFonts w:ascii="Symbol" w:hAnsi="Symbol"/>
      </w:rPr>
    </w:lvl>
    <w:lvl w:ilvl="7" w:tplc="36605935">
      <w:start w:val="1"/>
      <w:numFmt w:val="bullet"/>
      <w:suff w:val="tab"/>
      <w:lvlText w:val="o"/>
      <w:lvlJc w:val="left"/>
      <w:pPr>
        <w:ind w:hanging="360" w:left="5760"/>
        <w:tabs>
          <w:tab w:val="left" w:pos="5760" w:leader="none"/>
        </w:tabs>
      </w:pPr>
      <w:rPr>
        <w:rFonts w:ascii="Courier New" w:hAnsi="Courier New"/>
      </w:rPr>
    </w:lvl>
    <w:lvl w:ilvl="8" w:tplc="2FBB676D">
      <w:start w:val="1"/>
      <w:numFmt w:val="bullet"/>
      <w:suff w:val="tab"/>
      <w:lvlText w:val=""/>
      <w:lvlJc w:val="left"/>
      <w:pPr>
        <w:ind w:hanging="360" w:left="6480"/>
        <w:tabs>
          <w:tab w:val="left" w:pos="6480" w:leader="none"/>
        </w:tabs>
      </w:pPr>
      <w:rPr>
        <w:rFonts w:ascii="Wingdings" w:hAnsi="Wingdings"/>
      </w:rPr>
    </w:lvl>
  </w:abstractNum>
  <w:abstractNum w:abstractNumId="1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5">
    <w:nsid w:val="5A042302"/>
    <w:multiLevelType w:val="hybridMultilevel"/>
    <w:lvl w:ilvl="0" w:tplc="6148899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4"/>
  </w:num>
  <w:num w:numId="2">
    <w:abstractNumId w:val="6"/>
  </w:num>
  <w:num w:numId="3">
    <w:abstractNumId w:val="9"/>
  </w:num>
  <w:num w:numId="4">
    <w:abstractNumId w:val="17"/>
  </w:num>
  <w:num w:numId="5">
    <w:abstractNumId w:val="21"/>
  </w:num>
  <w:num w:numId="6">
    <w:abstractNumId w:val="4"/>
  </w:num>
  <w:num w:numId="7">
    <w:abstractNumId w:val="16"/>
  </w:num>
  <w:num w:numId="8">
    <w:abstractNumId w:val="1"/>
  </w:num>
  <w:num w:numId="9">
    <w:abstractNumId w:val="3"/>
  </w:num>
  <w:num w:numId="10">
    <w:abstractNumId w:val="5"/>
  </w:num>
  <w:num w:numId="11">
    <w:abstractNumId w:val="12"/>
  </w:num>
  <w:num w:numId="12">
    <w:abstractNumId w:val="13"/>
  </w:num>
  <w:num w:numId="13">
    <w:abstractNumId w:val="24"/>
  </w:num>
  <w:num w:numId="14">
    <w:abstractNumId w:val="20"/>
  </w:num>
  <w:num w:numId="15">
    <w:abstractNumId w:val="19"/>
  </w:num>
  <w:num w:numId="16">
    <w:abstractNumId w:val="10"/>
  </w:num>
  <w:num w:numId="17">
    <w:abstractNumId w:val="11"/>
  </w:num>
  <w:num w:numId="18">
    <w:abstractNumId w:val="22"/>
  </w:num>
  <w:num w:numId="19">
    <w:abstractNumId w:val="7"/>
  </w:num>
  <w:num w:numId="20">
    <w:abstractNumId w:val="2"/>
  </w:num>
  <w:num w:numId="21">
    <w:abstractNumId w:val="0"/>
  </w:num>
  <w:num w:numId="22">
    <w:abstractNumId w:val="15"/>
  </w:num>
  <w:num w:numId="23">
    <w:abstractNumId w:val="23"/>
  </w:num>
  <w:num w:numId="24">
    <w:abstractNumId w:val="18"/>
  </w:num>
  <w:num w:numId="25">
    <w:abstractNumId w:val="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0"/>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2010-08-06T13:36:00Z</dcterms:created>
  <cp:lastModifiedBy>Ethan Puglia</cp:lastModifiedBy>
  <cp:lastPrinted>2010-08-06T13:13:00Z</cp:lastPrinted>
  <dcterms:modified xsi:type="dcterms:W3CDTF">2019-03-28T17:34:22Z</dcterms:modified>
  <cp:revision>6</cp:revision>
  <dc:title>PROYECTO DE ORDENANZA VIOLENCIA FAMILIAR</dc:title>
</cp:coreProperties>
</file>