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E5D19BC" Type="http://schemas.openxmlformats.org/officeDocument/2006/relationships/officeDocument" Target="/word/document.xml" /><Relationship Id="coreR3E5D19B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8681</w:t>
      </w:r>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210/10, iniciado por Sbrola, Silvina A. y Sbrola, Cristina A. - Previa;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12"/>
        <w:ind w:left="426"/>
      </w:pPr>
      <w:r>
        <w:t>Que en el mismo se solicita se analice la posibilidad de ampliar la Ordenanza Nº 7678, referida a la autorización de un FOS superior al establecido para el inmueble Designación Catastral 1-1-103-29, ubicado en Av. Belgrano esq. Prudencio Bustos de Barrio Norte de nuestra Ciudad;</w:t>
      </w:r>
    </w:p>
    <w:p>
      <w:pPr>
        <w:pStyle w:val="P12"/>
        <w:ind w:left="426"/>
      </w:pPr>
    </w:p>
    <w:p>
      <w:pPr>
        <w:pStyle w:val="P12"/>
        <w:ind w:left="426"/>
      </w:pPr>
      <w:r>
        <w:t xml:space="preserve">Que dicha ampliación es en referencia: 1) Respecto del Factor de Ocupación del Suelo (FOS), Art. Nº 233 de la Ordenanza Nº 1294, para el segundo y tercer piso a construir, que debe ser del SETENTA POR CIENTO (70%) y en este caso es del CIEN POR CIENTO (100%)  -   2) Del Art. 186º de la Ord. Nº 1294, que dice: “En edificio no conforme al Código: Todo uso de un edificio, instalación o predio, no conforme a las prescripciones de este Código, podrá continuar siempre que no sea ampliado, ensanchado, extendido, reconstruido, reformado o transformado….” y  3) Respecto del Art.230º de la misma Ordenanza (Código de Edificación y Urbanización de Alta Gracia), que establece la cantidad de estacionamientos que debe poseer el emprendimiento;</w:t>
      </w:r>
    </w:p>
    <w:p>
      <w:pPr>
        <w:pStyle w:val="P12"/>
        <w:ind w:left="426"/>
      </w:pPr>
    </w:p>
    <w:p>
      <w:pPr>
        <w:pStyle w:val="P12"/>
        <w:ind w:left="426"/>
      </w:pPr>
      <w:r>
        <w:t xml:space="preserve">Que en el análisis realizado por esta Comisión de Obras y Servicios Públicos, surge de una simple deducción, que en el caso del punto 1) del considerando anterior (Art.233º – Ordenanza Nº 1294), no se hace necesaria la </w:t>
      </w:r>
    </w:p>
    <w:p>
      <w:pPr>
        <w:pStyle w:val="P12"/>
        <w:ind w:left="426"/>
        <w:jc w:val="right"/>
      </w:pPr>
      <w:r>
        <w:t>...///</w:t>
      </w:r>
    </w:p>
    <w:p>
      <w:pPr>
        <w:pStyle w:val="P12"/>
        <w:ind w:left="426"/>
      </w:pPr>
    </w:p>
    <w:p>
      <w:pPr>
        <w:pStyle w:val="P12"/>
        <w:ind w:left="426"/>
      </w:pPr>
    </w:p>
    <w:p>
      <w:pPr>
        <w:pStyle w:val="P12"/>
        <w:ind w:left="426"/>
      </w:pPr>
    </w:p>
    <w:p>
      <w:pPr>
        <w:pStyle w:val="P12"/>
        <w:ind w:left="426"/>
      </w:pPr>
    </w:p>
    <w:p>
      <w:pPr>
        <w:pStyle w:val="P12"/>
        <w:ind w:left="426"/>
      </w:pPr>
    </w:p>
    <w:p>
      <w:pPr>
        <w:pStyle w:val="P12"/>
        <w:ind w:left="426"/>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7"/>
        <w:rPr>
          <w:rStyle w:val="C3"/>
          <w:rFonts w:ascii="Courier New" w:hAnsi="Courier New"/>
        </w:rPr>
      </w:pPr>
    </w:p>
    <w:p>
      <w:pPr>
        <w:rPr>
          <w:rStyle w:val="C3"/>
          <w:rFonts w:ascii="Courier New" w:hAnsi="Courier New"/>
        </w:rPr>
      </w:pPr>
      <w:r>
        <w:rPr>
          <w:rStyle w:val="C3"/>
          <w:rFonts w:ascii="Courier New" w:hAnsi="Courier New"/>
        </w:rPr>
        <w:t>...///2.-</w:t>
      </w:r>
    </w:p>
    <w:p>
      <w:pPr>
        <w:pStyle w:val="P12"/>
        <w:ind w:left="426"/>
        <w:rPr>
          <w:rStyle w:val="C3"/>
        </w:rPr>
      </w:pPr>
    </w:p>
    <w:p>
      <w:pPr>
        <w:pStyle w:val="P12"/>
        <w:ind w:left="567"/>
      </w:pPr>
      <w:r>
        <w:t>excepción, debido a que el Factor de Ocupación del Suelo (FOS) es el porcentaje de superficie ocupada en planta del inmueble, que ya ha sido ocupado por la Planta Baja y Primer Piso (Ordenanza Nº 7678);</w:t>
      </w:r>
    </w:p>
    <w:p>
      <w:pPr>
        <w:pStyle w:val="P12"/>
        <w:ind w:left="567"/>
      </w:pPr>
    </w:p>
    <w:p>
      <w:pPr>
        <w:pStyle w:val="P12"/>
        <w:ind w:left="567"/>
      </w:pPr>
      <w:r>
        <w:t>Que respecto del punto 2) (Art.186º, inc.b – Ordenanza Nº 1294) y a fin de haber evitado un nuevo pedido de excepción que actualmente surge, se debió presentar el Proyecto de la totalidad del edificio a construir, más allá del tiempo y etapas en que se fuera a ejecutar la obra;</w:t>
      </w:r>
    </w:p>
    <w:p>
      <w:pPr>
        <w:pStyle w:val="P12"/>
        <w:ind w:left="567"/>
      </w:pPr>
    </w:p>
    <w:p>
      <w:pPr>
        <w:pStyle w:val="P12"/>
        <w:ind w:left="567"/>
      </w:pPr>
      <w:r>
        <w:t xml:space="preserve">Que con respecto al punto 3) (Art.230º – Ordenanza Nº 1294), relacionado a la cantidad de estacionamientos, ya hoy se encuentra en vigencia el nuevo Plan de Ordenamiento Urbano de la Ciudad, contemplando en el mismo un valor mínimo, que para este caso es del CINCUENTA POR CIENTO (50%), hecho que se cumpliría;      </w:t>
      </w:r>
    </w:p>
    <w:p>
      <w:pPr>
        <w:pStyle w:val="P13"/>
        <w:tabs>
          <w:tab w:val="left" w:pos="-993" w:leader="none"/>
          <w:tab w:val="left" w:pos="567" w:leader="none"/>
        </w:tabs>
        <w:ind w:firstLine="0" w:left="567"/>
      </w:pPr>
    </w:p>
    <w:p>
      <w:pPr>
        <w:pStyle w:val="P13"/>
        <w:tabs>
          <w:tab w:val="left" w:pos="-993" w:leader="none"/>
        </w:tabs>
        <w:ind w:hanging="426" w:left="567"/>
      </w:pPr>
      <w:r>
        <w:t xml:space="preserve">   Que en cuanto a la altura final del edificio (considerando Planta Baja y los tres niveles superiores), no se supera lo estipulado por la misma normativa;    </w:t>
      </w:r>
    </w:p>
    <w:p>
      <w:pPr>
        <w:ind w:left="567"/>
        <w:jc w:val="right"/>
        <w:rPr>
          <w:rStyle w:val="C3"/>
          <w:rFonts w:ascii="Courier New" w:hAnsi="Courier New"/>
        </w:rPr>
      </w:pPr>
    </w:p>
    <w:p>
      <w:pPr>
        <w:ind w:left="567"/>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04 de Agosto de 2010.-</w:t>
      </w:r>
    </w:p>
    <w:p>
      <w:pPr>
        <w:ind w:left="709"/>
        <w:jc w:val="both"/>
        <w:rPr>
          <w:rStyle w:val="C3"/>
          <w:rFonts w:ascii="Courier New" w:hAnsi="Courier New"/>
        </w:rPr>
      </w:pPr>
    </w:p>
    <w:p>
      <w:pPr>
        <w:ind w:left="709"/>
        <w:jc w:val="both"/>
        <w:rPr>
          <w:rStyle w:val="C3"/>
          <w:rFonts w:ascii="Courier New" w:hAnsi="Courier New"/>
        </w:rPr>
      </w:pPr>
    </w:p>
    <w:p>
      <w:pPr>
        <w:tabs>
          <w:tab w:val="left" w:pos="3909" w:leader="none"/>
        </w:tabs>
        <w:ind w:left="567"/>
        <w:jc w:val="right"/>
        <w:rPr>
          <w:rStyle w:val="C3"/>
          <w:rFonts w:ascii="Courier New" w:hAnsi="Courier New"/>
        </w:rPr>
      </w:pPr>
      <w:r>
        <w:rPr>
          <w:rStyle w:val="C3"/>
          <w:rFonts w:ascii="Courier New" w:hAnsi="Courier New"/>
        </w:rPr>
        <w:t xml:space="preserve">         </w:t>
      </w: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rPr>
          <w:rStyle w:val="C3"/>
          <w:b w:val="1"/>
          <w:u w:val="single"/>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7"/>
        <w:rPr>
          <w:rStyle w:val="C3"/>
          <w:rFonts w:ascii="Courier New" w:hAnsi="Courier New"/>
        </w:rPr>
      </w:pPr>
    </w:p>
    <w:p>
      <w:pPr>
        <w:rPr>
          <w:rStyle w:val="C3"/>
          <w:rFonts w:ascii="Courier New" w:hAnsi="Courier New"/>
        </w:rPr>
      </w:pPr>
      <w:r>
        <w:rPr>
          <w:rStyle w:val="C3"/>
          <w:rFonts w:ascii="Courier New" w:hAnsi="Courier New"/>
        </w:rPr>
        <w:t>...///3.-</w:t>
      </w:r>
    </w:p>
    <w:p>
      <w:pPr>
        <w:ind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w:t>
      </w:r>
      <w:r>
        <w:rPr>
          <w:rStyle w:val="C3"/>
          <w:rFonts w:ascii="Courier New" w:hAnsi="Courier New"/>
          <w:b w:val="1"/>
        </w:rPr>
        <w:t xml:space="preserve">R </w:t>
      </w:r>
      <w:r>
        <w:rPr>
          <w:rStyle w:val="C3"/>
          <w:rFonts w:ascii="Courier New" w:hAnsi="Courier New"/>
        </w:rPr>
        <w:t xml:space="preserve">a las Sras. Silvina A. Sbrola y Cristina A. Sbrola, a realizar en el inmueble Designación  Catastral 1-1-103-29, ubicado en Av. Belgrano esq. Prudencio Bustos de Barrio Norte de nuestra Ciudad, la ampliación del segundo y tercer nivel del edificio existente, en un todo de acuerdo a planos que constan en el presente Expediente, sin el cumplimiento de los Arts. 186, inc.b y 230 de la Ordenanza Nº 1294, en vigencia transitoria para Expedientes iniciados con fecha anterior a la puesta en vigencia del nuevo Plan de Ordenamiento Urbano y Territorial de nuestra Ciudad (Ordenanza Nº 8547).-</w:t>
      </w:r>
    </w:p>
    <w:p>
      <w:pPr>
        <w:ind w:hanging="426" w:left="426"/>
        <w:jc w:val="right"/>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CUATRO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328DBB9D">
      <w:start w:val="0"/>
      <w:numFmt w:val="bullet"/>
      <w:suff w:val="tab"/>
      <w:lvlText w:val=""/>
      <w:lvlJc w:val="left"/>
      <w:pPr>
        <w:ind w:hanging="360" w:left="927"/>
      </w:pPr>
      <w:rPr>
        <w:rFonts w:ascii="Symbol" w:hAnsi="Symbol"/>
      </w:rPr>
    </w:lvl>
    <w:lvl w:ilvl="1" w:tplc="1BF527D2">
      <w:start w:val="1"/>
      <w:numFmt w:val="bullet"/>
      <w:suff w:val="tab"/>
      <w:lvlText w:val="o"/>
      <w:lvlJc w:val="left"/>
      <w:pPr>
        <w:ind w:hanging="360" w:left="1647"/>
      </w:pPr>
      <w:rPr>
        <w:rFonts w:ascii="Courier New" w:hAnsi="Courier New"/>
      </w:rPr>
    </w:lvl>
    <w:lvl w:ilvl="2" w:tplc="5ED57E9D">
      <w:start w:val="1"/>
      <w:numFmt w:val="bullet"/>
      <w:suff w:val="tab"/>
      <w:lvlText w:val=""/>
      <w:lvlJc w:val="left"/>
      <w:pPr>
        <w:ind w:hanging="360" w:left="2367"/>
      </w:pPr>
      <w:rPr>
        <w:rFonts w:ascii="Wingdings" w:hAnsi="Wingdings"/>
      </w:rPr>
    </w:lvl>
    <w:lvl w:ilvl="3" w:tplc="0F956CF2">
      <w:start w:val="1"/>
      <w:numFmt w:val="bullet"/>
      <w:suff w:val="tab"/>
      <w:lvlText w:val=""/>
      <w:lvlJc w:val="left"/>
      <w:pPr>
        <w:ind w:hanging="360" w:left="3087"/>
      </w:pPr>
      <w:rPr>
        <w:rFonts w:ascii="Symbol" w:hAnsi="Symbol"/>
      </w:rPr>
    </w:lvl>
    <w:lvl w:ilvl="4" w:tplc="7E45DC1F">
      <w:start w:val="1"/>
      <w:numFmt w:val="bullet"/>
      <w:suff w:val="tab"/>
      <w:lvlText w:val="o"/>
      <w:lvlJc w:val="left"/>
      <w:pPr>
        <w:ind w:hanging="360" w:left="3807"/>
      </w:pPr>
      <w:rPr>
        <w:rFonts w:ascii="Courier New" w:hAnsi="Courier New"/>
      </w:rPr>
    </w:lvl>
    <w:lvl w:ilvl="5" w:tplc="22D6F7F9">
      <w:start w:val="1"/>
      <w:numFmt w:val="bullet"/>
      <w:suff w:val="tab"/>
      <w:lvlText w:val=""/>
      <w:lvlJc w:val="left"/>
      <w:pPr>
        <w:ind w:hanging="360" w:left="4527"/>
      </w:pPr>
      <w:rPr>
        <w:rFonts w:ascii="Wingdings" w:hAnsi="Wingdings"/>
      </w:rPr>
    </w:lvl>
    <w:lvl w:ilvl="6" w:tplc="21A027FF">
      <w:start w:val="1"/>
      <w:numFmt w:val="bullet"/>
      <w:suff w:val="tab"/>
      <w:lvlText w:val=""/>
      <w:lvlJc w:val="left"/>
      <w:pPr>
        <w:ind w:hanging="360" w:left="5247"/>
      </w:pPr>
      <w:rPr>
        <w:rFonts w:ascii="Symbol" w:hAnsi="Symbol"/>
      </w:rPr>
    </w:lvl>
    <w:lvl w:ilvl="7" w:tplc="21880B27">
      <w:start w:val="1"/>
      <w:numFmt w:val="bullet"/>
      <w:suff w:val="tab"/>
      <w:lvlText w:val="o"/>
      <w:lvlJc w:val="left"/>
      <w:pPr>
        <w:ind w:hanging="360" w:left="5967"/>
      </w:pPr>
      <w:rPr>
        <w:rFonts w:ascii="Courier New" w:hAnsi="Courier New"/>
      </w:rPr>
    </w:lvl>
    <w:lvl w:ilvl="8" w:tplc="5CC4725B">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6429E8E9">
      <w:start w:val="1"/>
      <w:numFmt w:val="bullet"/>
      <w:suff w:val="tab"/>
      <w:lvlText w:val=""/>
      <w:lvlJc w:val="left"/>
      <w:pPr>
        <w:ind w:hanging="360" w:left="720"/>
        <w:tabs>
          <w:tab w:val="left" w:pos="720" w:leader="none"/>
        </w:tabs>
      </w:pPr>
      <w:rPr>
        <w:rFonts w:ascii="Symbol" w:hAnsi="Symbol"/>
      </w:rPr>
    </w:lvl>
    <w:lvl w:ilvl="1" w:tplc="520F771A">
      <w:start w:val="1"/>
      <w:numFmt w:val="bullet"/>
      <w:suff w:val="tab"/>
      <w:lvlText w:val="o"/>
      <w:lvlJc w:val="left"/>
      <w:pPr>
        <w:ind w:hanging="360" w:left="1440"/>
        <w:tabs>
          <w:tab w:val="left" w:pos="1440" w:leader="none"/>
        </w:tabs>
      </w:pPr>
      <w:rPr>
        <w:rFonts w:ascii="Courier New" w:hAnsi="Courier New"/>
      </w:rPr>
    </w:lvl>
    <w:lvl w:ilvl="2" w:tplc="57E6BA42">
      <w:start w:val="1"/>
      <w:numFmt w:val="bullet"/>
      <w:suff w:val="tab"/>
      <w:lvlText w:val=""/>
      <w:lvlJc w:val="left"/>
      <w:pPr>
        <w:ind w:hanging="360" w:left="2160"/>
        <w:tabs>
          <w:tab w:val="left" w:pos="2160" w:leader="none"/>
        </w:tabs>
      </w:pPr>
      <w:rPr>
        <w:rFonts w:ascii="Wingdings" w:hAnsi="Wingdings"/>
      </w:rPr>
    </w:lvl>
    <w:lvl w:ilvl="3" w:tplc="7C7091FC">
      <w:start w:val="1"/>
      <w:numFmt w:val="bullet"/>
      <w:suff w:val="tab"/>
      <w:lvlText w:val=""/>
      <w:lvlJc w:val="left"/>
      <w:pPr>
        <w:ind w:hanging="360" w:left="2880"/>
        <w:tabs>
          <w:tab w:val="left" w:pos="2880" w:leader="none"/>
        </w:tabs>
      </w:pPr>
      <w:rPr>
        <w:rFonts w:ascii="Symbol" w:hAnsi="Symbol"/>
      </w:rPr>
    </w:lvl>
    <w:lvl w:ilvl="4" w:tplc="72BE8461">
      <w:start w:val="1"/>
      <w:numFmt w:val="bullet"/>
      <w:suff w:val="tab"/>
      <w:lvlText w:val="o"/>
      <w:lvlJc w:val="left"/>
      <w:pPr>
        <w:ind w:hanging="360" w:left="3600"/>
        <w:tabs>
          <w:tab w:val="left" w:pos="3600" w:leader="none"/>
        </w:tabs>
      </w:pPr>
      <w:rPr>
        <w:rFonts w:ascii="Courier New" w:hAnsi="Courier New"/>
      </w:rPr>
    </w:lvl>
    <w:lvl w:ilvl="5" w:tplc="66B83837">
      <w:start w:val="1"/>
      <w:numFmt w:val="bullet"/>
      <w:suff w:val="tab"/>
      <w:lvlText w:val=""/>
      <w:lvlJc w:val="left"/>
      <w:pPr>
        <w:ind w:hanging="360" w:left="4320"/>
        <w:tabs>
          <w:tab w:val="left" w:pos="4320" w:leader="none"/>
        </w:tabs>
      </w:pPr>
      <w:rPr>
        <w:rFonts w:ascii="Wingdings" w:hAnsi="Wingdings"/>
      </w:rPr>
    </w:lvl>
    <w:lvl w:ilvl="6" w:tplc="53BD75E1">
      <w:start w:val="1"/>
      <w:numFmt w:val="bullet"/>
      <w:suff w:val="tab"/>
      <w:lvlText w:val=""/>
      <w:lvlJc w:val="left"/>
      <w:pPr>
        <w:ind w:hanging="360" w:left="5040"/>
        <w:tabs>
          <w:tab w:val="left" w:pos="5040" w:leader="none"/>
        </w:tabs>
      </w:pPr>
      <w:rPr>
        <w:rFonts w:ascii="Symbol" w:hAnsi="Symbol"/>
      </w:rPr>
    </w:lvl>
    <w:lvl w:ilvl="7" w:tplc="6BF265C0">
      <w:start w:val="1"/>
      <w:numFmt w:val="bullet"/>
      <w:suff w:val="tab"/>
      <w:lvlText w:val="o"/>
      <w:lvlJc w:val="left"/>
      <w:pPr>
        <w:ind w:hanging="360" w:left="5760"/>
        <w:tabs>
          <w:tab w:val="left" w:pos="5760" w:leader="none"/>
        </w:tabs>
      </w:pPr>
      <w:rPr>
        <w:rFonts w:ascii="Courier New" w:hAnsi="Courier New"/>
      </w:rPr>
    </w:lvl>
    <w:lvl w:ilvl="8" w:tplc="193E58E2">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75CCDD1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4"/>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2010-08-06T14:48:00Z</dcterms:created>
  <cp:lastModifiedBy>Ethan Puglia</cp:lastModifiedBy>
  <cp:lastPrinted>2010-08-06T13:13:00Z</cp:lastPrinted>
  <dcterms:modified xsi:type="dcterms:W3CDTF">2019-03-28T17:34:22Z</dcterms:modified>
  <cp:revision>5</cp:revision>
  <dc:title>PROYECTO DE ORDENANZA VIOLENCIA FAMILIAR</dc:title>
</cp:coreProperties>
</file>