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DD35D36" Type="http://schemas.openxmlformats.org/officeDocument/2006/relationships/officeDocument" Target="/word/document.xml" /><Relationship Id="coreR7DD35D3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8685</w:t>
      </w:r>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331/I/10 iniciado por el Departamento Ejecutivo asunto Ferretería Gómez – Propuesta de pago;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el Sr. Luis Gómez mediante nota de fecha 03 de Junio del 2010, manifiesta que posee una deuda con la Municipalidad de Alta Gracia y que es su intención legar a un acuerdo de pago a cuyo fin ofrece cancelar lo adeudado mediante la entrega de mercaderías o maquinas objeto de su comercio que en el caso de maquinaria, ofrece una Pala Mecánica sin uso, marca Michigan 75C, de 140 HP, de 2m3 de capacidad de balde;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 la Secretaría de Obras Publicas informa que cuenta en la actualidad con una sola Pala Mecánica, en calidad de préstamo a la Secretaría de Servicios Públicos, y que es de suma necesidad disponer de una Pala Mecánica en la Planta Hormigonera;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Fs.4/5 adjunta la Dirección de Ingresos Públicos  informe del estado de deuda, del solicitante en concepto de Tasa de Comercio e Industria, que registra impagos periodos desde el año 2007;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Fs.9/10, 11/14 y 15, se agregan presupuestos de otros Comercios Agrocentro- Maquinaria y Accesorios – Tortone SA y Dowel SA;</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tanto la Secretaría de Economía, al ser consultada al respecto, se expide y manifiesta: que la Administración Municipal tiene previsto la compra de una pala cargadora frontal articulada mediante un crédito y que la posibilidad de cobrar una deuda considerable como la que posee la Firma Ferretería Gómez, mediante la entrega de una maquinaria de suma utilidad, redundaría en un importante beneficio, por la cual se cobra una deuda de manera ágil, se libera la posibilidad de utilizar el préstamo para otro destino, no existiendo desde el punto de vista contable, ninguna objeción;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ha cumplido con el proceso indicado en la Ordenanza Nº 8508, todo de acuerdo a lo establecido en su Art.7º;</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propuesta efectuada, excede el monto establecido para el Concurso Privado de precio establecido en el Art.6 de la Ordenanza Nº 8508, corresponde analizar esta cuestión de manera particular debiéndose tener en cuenta, en primer término, que se trata de una propuesta efectuada por una importante empresa comercial en el rubro Ferretería de herramientas y maquinarias en la Ciudad y que por su importancia resulta uno de los mayores proveedores de fuente laboral genuina, en segundo término, atento los precios ofrecidos en el último concurso privado, para la contratación de una Pala Frontal de entre 1,5 y 2,2 m3 de balde, llevado a cabo el 18 de Junio de 2010, las ofertas alcanzaron el precio de PESOS CIENTO SESENTA Y CINCO POR HORA ($165/hora) y que este gasto esta originado en la necesidad de realizar tareas de acopio, zarandeo y cargado de escombros de canteras para el mantenimiento de las calles de tierra de nuestra Ciudad que de acuerdo a la necesidad imperiosa y urgencia manifestada por las Áreas Técnicas y por lo demás expuesto, no puede esperarse el resultado de un proceso de concurso Público de precios;</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  </w:t>
      </w:r>
    </w:p>
    <w:p>
      <w:pPr>
        <w:pStyle w:val="P12"/>
        <w:ind w:left="426"/>
        <w:rPr>
          <w:rStyle w:val="C3"/>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mayoría en Sesión Ordinaria del día 11 de Agosto de 2010.-</w:t>
      </w:r>
    </w:p>
    <w:p>
      <w:pPr>
        <w:ind w:left="709"/>
        <w:jc w:val="both"/>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ACEPTAR</w:t>
      </w:r>
      <w:r>
        <w:rPr>
          <w:rStyle w:val="C3"/>
          <w:rFonts w:ascii="Courier New" w:hAnsi="Courier New"/>
        </w:rPr>
        <w:t xml:space="preserve"> del Sr. Luis Gómez el pago de los tributos adeudados de ejercicios anteriores por la Tasa de Comercio e Industria, mediante la Dación en Pago de una Pala Mecánica nueva, marca Michigan 75, de 140 HP, de 2m3 de capacidad de balde, según las previsiones establecidas en la Ordenanza 8508.-</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FIJAR</w:t>
      </w:r>
      <w:r>
        <w:rPr>
          <w:rStyle w:val="C3"/>
          <w:rFonts w:ascii="Courier New" w:hAnsi="Courier New"/>
        </w:rPr>
        <w:t xml:space="preserve"> el plazo de TREINTA (30) días, para su efectivización, a partir de la promulgación de la presente</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ONCE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36015835">
      <w:start w:val="0"/>
      <w:numFmt w:val="bullet"/>
      <w:suff w:val="tab"/>
      <w:lvlText w:val=""/>
      <w:lvlJc w:val="left"/>
      <w:pPr>
        <w:ind w:hanging="360" w:left="927"/>
      </w:pPr>
      <w:rPr>
        <w:rFonts w:ascii="Symbol" w:hAnsi="Symbol"/>
      </w:rPr>
    </w:lvl>
    <w:lvl w:ilvl="1" w:tplc="251DAD13">
      <w:start w:val="1"/>
      <w:numFmt w:val="bullet"/>
      <w:suff w:val="tab"/>
      <w:lvlText w:val="o"/>
      <w:lvlJc w:val="left"/>
      <w:pPr>
        <w:ind w:hanging="360" w:left="1647"/>
      </w:pPr>
      <w:rPr>
        <w:rFonts w:ascii="Courier New" w:hAnsi="Courier New"/>
      </w:rPr>
    </w:lvl>
    <w:lvl w:ilvl="2" w:tplc="089B9ED6">
      <w:start w:val="1"/>
      <w:numFmt w:val="bullet"/>
      <w:suff w:val="tab"/>
      <w:lvlText w:val=""/>
      <w:lvlJc w:val="left"/>
      <w:pPr>
        <w:ind w:hanging="360" w:left="2367"/>
      </w:pPr>
      <w:rPr>
        <w:rFonts w:ascii="Wingdings" w:hAnsi="Wingdings"/>
      </w:rPr>
    </w:lvl>
    <w:lvl w:ilvl="3" w:tplc="1018806C">
      <w:start w:val="1"/>
      <w:numFmt w:val="bullet"/>
      <w:suff w:val="tab"/>
      <w:lvlText w:val=""/>
      <w:lvlJc w:val="left"/>
      <w:pPr>
        <w:ind w:hanging="360" w:left="3087"/>
      </w:pPr>
      <w:rPr>
        <w:rFonts w:ascii="Symbol" w:hAnsi="Symbol"/>
      </w:rPr>
    </w:lvl>
    <w:lvl w:ilvl="4" w:tplc="65F8018A">
      <w:start w:val="1"/>
      <w:numFmt w:val="bullet"/>
      <w:suff w:val="tab"/>
      <w:lvlText w:val="o"/>
      <w:lvlJc w:val="left"/>
      <w:pPr>
        <w:ind w:hanging="360" w:left="3807"/>
      </w:pPr>
      <w:rPr>
        <w:rFonts w:ascii="Courier New" w:hAnsi="Courier New"/>
      </w:rPr>
    </w:lvl>
    <w:lvl w:ilvl="5" w:tplc="19B44ED2">
      <w:start w:val="1"/>
      <w:numFmt w:val="bullet"/>
      <w:suff w:val="tab"/>
      <w:lvlText w:val=""/>
      <w:lvlJc w:val="left"/>
      <w:pPr>
        <w:ind w:hanging="360" w:left="4527"/>
      </w:pPr>
      <w:rPr>
        <w:rFonts w:ascii="Wingdings" w:hAnsi="Wingdings"/>
      </w:rPr>
    </w:lvl>
    <w:lvl w:ilvl="6" w:tplc="61334D20">
      <w:start w:val="1"/>
      <w:numFmt w:val="bullet"/>
      <w:suff w:val="tab"/>
      <w:lvlText w:val=""/>
      <w:lvlJc w:val="left"/>
      <w:pPr>
        <w:ind w:hanging="360" w:left="5247"/>
      </w:pPr>
      <w:rPr>
        <w:rFonts w:ascii="Symbol" w:hAnsi="Symbol"/>
      </w:rPr>
    </w:lvl>
    <w:lvl w:ilvl="7" w:tplc="2968274E">
      <w:start w:val="1"/>
      <w:numFmt w:val="bullet"/>
      <w:suff w:val="tab"/>
      <w:lvlText w:val="o"/>
      <w:lvlJc w:val="left"/>
      <w:pPr>
        <w:ind w:hanging="360" w:left="5967"/>
      </w:pPr>
      <w:rPr>
        <w:rFonts w:ascii="Courier New" w:hAnsi="Courier New"/>
      </w:rPr>
    </w:lvl>
    <w:lvl w:ilvl="8" w:tplc="40BDEDC1">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5C5C2B2F">
      <w:start w:val="1"/>
      <w:numFmt w:val="bullet"/>
      <w:suff w:val="tab"/>
      <w:lvlText w:val=""/>
      <w:lvlJc w:val="left"/>
      <w:pPr>
        <w:ind w:hanging="360" w:left="720"/>
        <w:tabs>
          <w:tab w:val="left" w:pos="720" w:leader="none"/>
        </w:tabs>
      </w:pPr>
      <w:rPr>
        <w:rFonts w:ascii="Symbol" w:hAnsi="Symbol"/>
      </w:rPr>
    </w:lvl>
    <w:lvl w:ilvl="1" w:tplc="0D4D4855">
      <w:start w:val="1"/>
      <w:numFmt w:val="bullet"/>
      <w:suff w:val="tab"/>
      <w:lvlText w:val="o"/>
      <w:lvlJc w:val="left"/>
      <w:pPr>
        <w:ind w:hanging="360" w:left="1440"/>
        <w:tabs>
          <w:tab w:val="left" w:pos="1440" w:leader="none"/>
        </w:tabs>
      </w:pPr>
      <w:rPr>
        <w:rFonts w:ascii="Courier New" w:hAnsi="Courier New"/>
      </w:rPr>
    </w:lvl>
    <w:lvl w:ilvl="2" w:tplc="7D47168B">
      <w:start w:val="1"/>
      <w:numFmt w:val="bullet"/>
      <w:suff w:val="tab"/>
      <w:lvlText w:val=""/>
      <w:lvlJc w:val="left"/>
      <w:pPr>
        <w:ind w:hanging="360" w:left="2160"/>
        <w:tabs>
          <w:tab w:val="left" w:pos="2160" w:leader="none"/>
        </w:tabs>
      </w:pPr>
      <w:rPr>
        <w:rFonts w:ascii="Wingdings" w:hAnsi="Wingdings"/>
      </w:rPr>
    </w:lvl>
    <w:lvl w:ilvl="3" w:tplc="77A440CA">
      <w:start w:val="1"/>
      <w:numFmt w:val="bullet"/>
      <w:suff w:val="tab"/>
      <w:lvlText w:val=""/>
      <w:lvlJc w:val="left"/>
      <w:pPr>
        <w:ind w:hanging="360" w:left="2880"/>
        <w:tabs>
          <w:tab w:val="left" w:pos="2880" w:leader="none"/>
        </w:tabs>
      </w:pPr>
      <w:rPr>
        <w:rFonts w:ascii="Symbol" w:hAnsi="Symbol"/>
      </w:rPr>
    </w:lvl>
    <w:lvl w:ilvl="4" w:tplc="53511B00">
      <w:start w:val="1"/>
      <w:numFmt w:val="bullet"/>
      <w:suff w:val="tab"/>
      <w:lvlText w:val="o"/>
      <w:lvlJc w:val="left"/>
      <w:pPr>
        <w:ind w:hanging="360" w:left="3600"/>
        <w:tabs>
          <w:tab w:val="left" w:pos="3600" w:leader="none"/>
        </w:tabs>
      </w:pPr>
      <w:rPr>
        <w:rFonts w:ascii="Courier New" w:hAnsi="Courier New"/>
      </w:rPr>
    </w:lvl>
    <w:lvl w:ilvl="5" w:tplc="13F02C1F">
      <w:start w:val="1"/>
      <w:numFmt w:val="bullet"/>
      <w:suff w:val="tab"/>
      <w:lvlText w:val=""/>
      <w:lvlJc w:val="left"/>
      <w:pPr>
        <w:ind w:hanging="360" w:left="4320"/>
        <w:tabs>
          <w:tab w:val="left" w:pos="4320" w:leader="none"/>
        </w:tabs>
      </w:pPr>
      <w:rPr>
        <w:rFonts w:ascii="Wingdings" w:hAnsi="Wingdings"/>
      </w:rPr>
    </w:lvl>
    <w:lvl w:ilvl="6" w:tplc="1C926EAA">
      <w:start w:val="1"/>
      <w:numFmt w:val="bullet"/>
      <w:suff w:val="tab"/>
      <w:lvlText w:val=""/>
      <w:lvlJc w:val="left"/>
      <w:pPr>
        <w:ind w:hanging="360" w:left="5040"/>
        <w:tabs>
          <w:tab w:val="left" w:pos="5040" w:leader="none"/>
        </w:tabs>
      </w:pPr>
      <w:rPr>
        <w:rFonts w:ascii="Symbol" w:hAnsi="Symbol"/>
      </w:rPr>
    </w:lvl>
    <w:lvl w:ilvl="7" w:tplc="46E2F7B9">
      <w:start w:val="1"/>
      <w:numFmt w:val="bullet"/>
      <w:suff w:val="tab"/>
      <w:lvlText w:val="o"/>
      <w:lvlJc w:val="left"/>
      <w:pPr>
        <w:ind w:hanging="360" w:left="5760"/>
        <w:tabs>
          <w:tab w:val="left" w:pos="5760" w:leader="none"/>
        </w:tabs>
      </w:pPr>
      <w:rPr>
        <w:rFonts w:ascii="Courier New" w:hAnsi="Courier New"/>
      </w:rPr>
    </w:lvl>
    <w:lvl w:ilvl="8" w:tplc="2EF9C27E">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3932952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4"/>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2010-08-17T10:56:00Z</dcterms:created>
  <cp:lastModifiedBy>Ethan Puglia</cp:lastModifiedBy>
  <cp:lastPrinted>2010-08-09T14:14:00Z</cp:lastPrinted>
  <dcterms:modified xsi:type="dcterms:W3CDTF">2019-03-28T17:34:22Z</dcterms:modified>
  <cp:revision>10</cp:revision>
  <dc:title>PROYECTO DE ORDENANZA VIOLENCIA FAMILIAR</dc:title>
</cp:coreProperties>
</file>