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5360CE5" Type="http://schemas.openxmlformats.org/officeDocument/2006/relationships/officeDocument" Target="/word/document.xml" /><Relationship Id="coreR55360CE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8695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inscripción y arancel de profesionales Martilleros Públicos; y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Dirección de Ingresos Públicos en forma conjunta con Procuración Municipal, solicitan se arancele la futura inscripción de profesionales Martilleros Públicos matriculados para los próximos periodos fiscales;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Colegio Profesional de Martilleros y Corredores Públicos, es la corporación encargada de fijar la fecha de inscripción para desarrollar la actividad profesional de sus miembros en las municipalidades y comunas de la Provincia de Córdoba que así lo requieran;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necesario y oportuno establecer un arancel adecuado, a los fines que los interesados y el estado, puedan contar con una normativa en particular que regule el asunto en cuestión;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conveniente equiparar el arancel en cuestión en una cantidad de “Jus” o la unidad de medida que lo reemplace, cuyo valor es dispuesto y publicado mensualmente por la Administración General del Poder Judicial de la Provincia de Cordoba.;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también se debe contar como requisito de inscripción, además de manifestar su domicilio real, fijar un domicilio dentro del radio urbano del ejido municipal a los efectos de las debidas notificaciones que pudiesen corresponder;</w:t>
      </w:r>
    </w:p>
    <w:p>
      <w:pPr>
        <w:pStyle w:val="P13"/>
        <w:tabs>
          <w:tab w:val="left" w:pos="0" w:leader="none"/>
        </w:tabs>
        <w:ind w:left="426"/>
        <w:rPr>
          <w:rStyle w:val="C3"/>
        </w:rPr>
      </w:pPr>
    </w:p>
    <w:p>
      <w:pPr>
        <w:ind w:left="709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tabs>
          <w:tab w:val="left" w:pos="3909" w:leader="none"/>
        </w:tabs>
        <w:ind w:left="567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</w:t>
      </w:r>
      <w:r>
        <w:rPr>
          <w:rStyle w:val="C3"/>
          <w:rFonts w:ascii="JaneAusten" w:hAnsi="JaneAusten"/>
          <w:b w:val="0"/>
          <w:sz w:val="24"/>
        </w:rPr>
        <w:t>2010 Año del Bicentenario de la Revolución de Mayo”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Proyecto de Ordenanza, por la Comisión de Hacienda, la misma emite despacho favorable, aprobado por Unanimidad en Sesión Ordinaria del día 25 de Agosto de 2010.-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2"/>
        <w:ind w:left="561"/>
        <w:jc w:val="center"/>
        <w:rPr>
          <w:rStyle w:val="C3"/>
          <w:b w:val="1"/>
        </w:rPr>
      </w:pPr>
    </w:p>
    <w:p>
      <w:pPr>
        <w:pStyle w:val="P12"/>
        <w:ind w:left="0"/>
        <w:rPr>
          <w:rStyle w:val="C3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FIJASE</w:t>
      </w:r>
      <w:r>
        <w:rPr>
          <w:rStyle w:val="C3"/>
          <w:rFonts w:ascii="Courier New" w:hAnsi="Courier New"/>
        </w:rPr>
        <w:t xml:space="preserve"> como Arancel, 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el valor de cuatro(4)”Jus” o la unidad de medida que lo reemplace</w:t>
      </w:r>
      <w:r>
        <w:rPr>
          <w:rStyle w:val="C3"/>
          <w:rFonts w:ascii="Courier New" w:hAnsi="Courier New"/>
          <w:b w:val="1"/>
        </w:rPr>
        <w:t xml:space="preserve">, </w:t>
      </w:r>
      <w:r>
        <w:rPr>
          <w:rStyle w:val="C3"/>
          <w:rFonts w:ascii="Courier New" w:hAnsi="Courier New"/>
        </w:rPr>
        <w:t xml:space="preserve">para cada anualidad, a los efectos de la inscripción en el Registro Municipal de  Martilleros Públicos, a todos los profesionales matriculados que se acreditan para tal fin.- </w:t>
      </w:r>
    </w:p>
    <w:p>
      <w:pPr>
        <w:pStyle w:val="P11"/>
        <w:ind w:hanging="426" w:left="426"/>
        <w:rPr>
          <w:rStyle w:val="C3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REQUIÉRASE </w:t>
      </w:r>
      <w:r>
        <w:rPr>
          <w:rStyle w:val="C3"/>
          <w:rFonts w:ascii="Courier New" w:hAnsi="Courier New"/>
        </w:rPr>
        <w:t>a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los profesionales solicitantes</w:t>
      </w:r>
      <w:r>
        <w:rPr>
          <w:rStyle w:val="C3"/>
          <w:rFonts w:ascii="Courier New" w:hAnsi="Courier New"/>
          <w:b w:val="1"/>
        </w:rPr>
        <w:t xml:space="preserve">, </w:t>
      </w:r>
      <w:r>
        <w:rPr>
          <w:rStyle w:val="C3"/>
          <w:rFonts w:ascii="Courier New" w:hAnsi="Courier New"/>
        </w:rPr>
        <w:t>a los fines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 xml:space="preserve">de su inscripción en el Registro Municipal de  Martilleros Públicos además de manifestar su domicilio real, fijar un domicilio especial  dentro del radio      urbano del ejido municipal a los efectos de las debidas notificaciones que pudiesen corresponder.-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pStyle w:val="P20"/>
        <w:ind w:hanging="561" w:left="561"/>
        <w:jc w:val="both"/>
        <w:rPr>
          <w:rStyle w:val="C3"/>
          <w:sz w:val="24"/>
        </w:rPr>
      </w:pPr>
      <w:bookmarkStart w:id="0" w:name="OLE_LINK1"/>
      <w:bookmarkStart w:id="1" w:name="OLE_LINK2"/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</w:rPr>
        <w:t xml:space="preserve">: </w:t>
      </w:r>
      <w:bookmarkEnd w:id="0"/>
      <w:bookmarkEnd w:id="1"/>
      <w:r>
        <w:rPr>
          <w:rStyle w:val="C3"/>
          <w:b w:val="1"/>
          <w:sz w:val="24"/>
        </w:rPr>
        <w:t xml:space="preserve">LA </w:t>
      </w:r>
      <w:r>
        <w:rPr>
          <w:rStyle w:val="C3"/>
          <w:sz w:val="24"/>
        </w:rPr>
        <w:t xml:space="preserve">presente Ordenanza entrará en vigencia en la fecha  que  se  dicte  su Decreto Promulgatorio, en un todo de conformidad a lo establecido en el Art.24° de la Carta Orgánica Municipal.-</w:t>
      </w:r>
    </w:p>
    <w:p>
      <w:pPr>
        <w:pStyle w:val="P20"/>
        <w:ind w:hanging="561" w:left="561"/>
        <w:jc w:val="both"/>
        <w:rPr>
          <w:rStyle w:val="C3"/>
          <w:sz w:val="24"/>
        </w:rPr>
      </w:pPr>
    </w:p>
    <w:p>
      <w:pPr>
        <w:pStyle w:val="P20"/>
        <w:ind w:hanging="561" w:left="561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Art.4</w:t>
      </w:r>
      <w:r>
        <w:rPr>
          <w:rStyle w:val="C3"/>
          <w:b w:val="1"/>
          <w:sz w:val="24"/>
        </w:rPr>
        <w:t>: NOTIFÍQUESE</w:t>
      </w:r>
      <w:r>
        <w:rPr>
          <w:rStyle w:val="C3"/>
          <w:sz w:val="24"/>
        </w:rPr>
        <w:t xml:space="preserve"> en particular al </w:t>
      </w:r>
      <w:r>
        <w:rPr>
          <w:rStyle w:val="C3"/>
          <w:color w:val="4A4A4A"/>
          <w:sz w:val="24"/>
        </w:rPr>
        <w:t xml:space="preserve">Colegio Profesional de Martilleros y Corredores Públicos de la Provincia de Córdoba, </w:t>
      </w:r>
      <w:r>
        <w:rPr>
          <w:rStyle w:val="C3"/>
          <w:sz w:val="24"/>
        </w:rPr>
        <w:t>la vigencia y aplicación de la presente Ordenanza.-</w:t>
      </w:r>
    </w:p>
    <w:p>
      <w:pPr>
        <w:pStyle w:val="P20"/>
        <w:ind w:hanging="561" w:left="561"/>
        <w:jc w:val="both"/>
        <w:rPr>
          <w:rStyle w:val="C3"/>
          <w:sz w:val="24"/>
        </w:rPr>
      </w:pPr>
    </w:p>
    <w:p>
      <w:pPr>
        <w:pStyle w:val="P20"/>
        <w:ind w:hanging="561" w:left="561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ind w:hanging="1" w:left="709"/>
        <w:jc w:val="right"/>
        <w:rPr>
          <w:rStyle w:val="C3"/>
          <w:sz w:val="24"/>
        </w:rPr>
      </w:pPr>
    </w:p>
    <w:p>
      <w:pPr>
        <w:pStyle w:val="P20"/>
        <w:ind w:hanging="1" w:left="709"/>
        <w:jc w:val="right"/>
        <w:rPr>
          <w:rStyle w:val="C3"/>
          <w:sz w:val="24"/>
        </w:rPr>
      </w:pPr>
    </w:p>
    <w:p>
      <w:pPr>
        <w:pStyle w:val="P20"/>
        <w:ind w:hanging="1" w:left="709"/>
        <w:jc w:val="right"/>
        <w:rPr>
          <w:rStyle w:val="C3"/>
          <w:sz w:val="24"/>
        </w:rPr>
      </w:pPr>
    </w:p>
    <w:p>
      <w:pPr>
        <w:pStyle w:val="P20"/>
        <w:ind w:hanging="1" w:left="709"/>
        <w:jc w:val="right"/>
        <w:rPr>
          <w:rStyle w:val="C3"/>
          <w:sz w:val="24"/>
        </w:rPr>
      </w:pPr>
    </w:p>
    <w:p>
      <w:pPr>
        <w:pStyle w:val="P20"/>
        <w:ind w:hanging="1" w:left="709"/>
        <w:jc w:val="right"/>
        <w:rPr>
          <w:rStyle w:val="C3"/>
          <w:sz w:val="24"/>
        </w:rPr>
      </w:pPr>
    </w:p>
    <w:p>
      <w:pPr>
        <w:pStyle w:val="P20"/>
        <w:ind w:hanging="1" w:left="709"/>
        <w:jc w:val="right"/>
        <w:rPr>
          <w:rStyle w:val="C3"/>
          <w:sz w:val="24"/>
        </w:rPr>
      </w:pPr>
    </w:p>
    <w:p>
      <w:pPr>
        <w:pStyle w:val="P20"/>
        <w:ind w:hanging="1" w:left="709"/>
        <w:jc w:val="right"/>
        <w:rPr>
          <w:rStyle w:val="C3"/>
          <w:sz w:val="24"/>
        </w:rPr>
      </w:pPr>
    </w:p>
    <w:p>
      <w:pPr>
        <w:pStyle w:val="P20"/>
        <w:ind w:hanging="561" w:left="561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561" w:left="561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561" w:left="561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561" w:left="561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561" w:left="561"/>
        <w:jc w:val="both"/>
        <w:rPr>
          <w:rStyle w:val="C3"/>
          <w:b w:val="1"/>
          <w:sz w:val="24"/>
          <w:u w:val="single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...///3.-</w:t>
      </w:r>
    </w:p>
    <w:p>
      <w:pPr>
        <w:pStyle w:val="P20"/>
        <w:ind w:hanging="561" w:left="561"/>
        <w:jc w:val="both"/>
        <w:rPr>
          <w:rStyle w:val="C3"/>
          <w:b w:val="1"/>
          <w:sz w:val="24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5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</w:pPr>
      <w:r>
        <w:t xml:space="preserve">DADA EN LA SALA DE SESIONES DEL HONORABLE CONCEJO DELIBERANTE A LOS VEINTICINCO DÍAS DEL MES DE AGOSTO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">
    <w:nsid w:val="145A66F1"/>
    <w:multiLevelType w:val="hybridMultilevel"/>
    <w:lvl w:ilvl="0" w:tplc="7A89926F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BA0406D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29D6A583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212F279F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3C4C3B34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01D50982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ADDC305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08965BB4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948C283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4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0">
    <w:nsid w:val="3A700CB9"/>
    <w:multiLevelType w:val="hybridMultilevel"/>
    <w:lvl w:ilvl="0" w:tplc="7D7C132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722C0934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2C6689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C64AB1F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F847AEF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EC45B97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15AAEF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D903049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E444EF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1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2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3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4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15">
    <w:nsid w:val="5A042302"/>
    <w:multiLevelType w:val="hybridMultilevel"/>
    <w:lvl w:ilvl="0" w:tplc="20B7C887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6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7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8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0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1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3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4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4"/>
  </w:num>
  <w:num w:numId="2">
    <w:abstractNumId w:val="6"/>
  </w:num>
  <w:num w:numId="3">
    <w:abstractNumId w:val="9"/>
  </w:num>
  <w:num w:numId="4">
    <w:abstractNumId w:val="17"/>
  </w:num>
  <w:num w:numId="5">
    <w:abstractNumId w:val="21"/>
  </w:num>
  <w:num w:numId="6">
    <w:abstractNumId w:val="4"/>
  </w:num>
  <w:num w:numId="7">
    <w:abstractNumId w:val="16"/>
  </w:num>
  <w:num w:numId="8">
    <w:abstractNumId w:val="1"/>
  </w:num>
  <w:num w:numId="9">
    <w:abstractNumId w:val="3"/>
  </w:num>
  <w:num w:numId="10">
    <w:abstractNumId w:val="5"/>
  </w:num>
  <w:num w:numId="11">
    <w:abstractNumId w:val="12"/>
  </w:num>
  <w:num w:numId="12">
    <w:abstractNumId w:val="13"/>
  </w:num>
  <w:num w:numId="13">
    <w:abstractNumId w:val="25"/>
  </w:num>
  <w:num w:numId="14">
    <w:abstractNumId w:val="20"/>
  </w:num>
  <w:num w:numId="15">
    <w:abstractNumId w:val="19"/>
  </w:num>
  <w:num w:numId="16">
    <w:abstractNumId w:val="10"/>
  </w:num>
  <w:num w:numId="17">
    <w:abstractNumId w:val="11"/>
  </w:num>
  <w:num w:numId="18">
    <w:abstractNumId w:val="22"/>
  </w:num>
  <w:num w:numId="19">
    <w:abstractNumId w:val="7"/>
  </w:num>
  <w:num w:numId="20">
    <w:abstractNumId w:val="2"/>
  </w:num>
  <w:num w:numId="21">
    <w:abstractNumId w:val="0"/>
  </w:num>
  <w:num w:numId="22">
    <w:abstractNumId w:val="15"/>
  </w:num>
  <w:num w:numId="23">
    <w:abstractNumId w:val="23"/>
  </w:num>
  <w:num w:numId="24">
    <w:abstractNumId w:val="18"/>
  </w:num>
  <w:num w:numId="25">
    <w:abstractNumId w:val="8"/>
  </w:num>
  <w:num w:numId="26">
    <w:abstractNumId w:val="24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1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sin formato Car"/>
    <w:basedOn w:val="C3"/>
    <w:link w:val="P20"/>
    <w:rPr>
      <w:rFonts w:ascii="Courier New" w:hAnsi="Courier New"/>
      <w:sz w:val="20"/>
    </w:rPr>
  </w:style>
  <w:style w:type="character" w:styleId="C11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2010-08-30T13:32:00Z</dcterms:created>
  <cp:lastModifiedBy>Ethan Puglia</cp:lastModifiedBy>
  <cp:lastPrinted>2010-08-20T12:44:00Z</cp:lastPrinted>
  <dcterms:modified xsi:type="dcterms:W3CDTF">2019-03-28T17:34:23Z</dcterms:modified>
  <cp:revision>6</cp:revision>
  <dc:title>PROYECTO DE ORDENANZA VIOLENCIA FAMILIAR</dc:title>
</cp:coreProperties>
</file>