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405388" Type="http://schemas.openxmlformats.org/officeDocument/2006/relationships/officeDocument" Target="/word/document.xml" /><Relationship Id="coreR4C4053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8698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diferenciar de acuerdo a su antigüedad, las alícuotas correspondientes a las presentaciones sobre edificaciones de distintas tipologías, en el Municipio de Alta Gracia;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año 1956 se creó el Consejo de la Ingeniería y la Arquitectura a los fines del registro de las edificaciones;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hasta el año 1956 no se receptó en el Municipio de Alta Gracia en forma estructurada documentación referente a las edificaciones;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existió en su momento registro de superficies edificadas cuyos datos referenciales estaban consignados por los Entes existentes: Obras Sanitarias de la Nación y Catastro de la Provincia;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Catastro Municipal se creó en el año 1948, cuya organización demandó un lapso de tiempo determinado;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partir del año 1998 se encuentran fichadas o inventariadas las propiedades con valores patrimoniales, dentro de las cuales se encuentran edificaciones del siglo XIX y del siglo XX anteriores al año 1956;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presentaciones de planos sobre relevamiento o intervenciones en Bienes Patrimoniales, enriquecen el archivo respectivo, y posibilitan la elaboración de los inventarios respectivos, de acuerdo a las normativas patrimoniales en vigencia: Ordenanza Nº 4518 y Ordenanza Nº 7129;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pueden existir propiedades no fichadas o inventariadas con valores patrimoniales o históricos a tener en cuenta, a los efectos de su incorporación al listado respectivo;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establecer una escala de alícuotas en función de períodos a considerar hasta el presente a los fines de alentar las presentaciones y propender a la actualización del Catastro respectivo;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 Proyecto de Ordenanza, por la Comisión de Obras y Servicios Públicos, la misma emite despacho favorable, aprobado por Unanimidad en Sesión Ordinaria del día 25 de Agosto de 2010.-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0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para las presentaciones sobre obras edificadas con anterioridad al año 1956, la anulación de la alícuota correspondiente a los Relevamientos, pudiéndose presentar “Planos Conforme a Obra”, los cuales facilitarán el registro catastral correspondiente, no requiriendo el trámite en los Colegios respectivos, ante la Municipalidad de Alta Gracia.-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DETERMÍNESE</w:t>
      </w:r>
      <w:r>
        <w:rPr>
          <w:rStyle w:val="C3"/>
          <w:rFonts w:ascii="Courier New" w:hAnsi="Courier New"/>
        </w:rPr>
        <w:t xml:space="preserve"> para las presentaciones de Relevamientos y/o Intervenciones en Bienes Patrimoniales fichados, inventariados y declarados, de acuerdo a lo determinado por las normativas especiales, de acuerdo a las Áreas de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Protección en que se encuentren, la factibilidad de la determinación del beneficio de eximición de las alícuotas correspondientes, en porcentajes a evaluar por el O.T.A. en cada caso.-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ESTABLÉCESE </w:t>
      </w:r>
      <w:r>
        <w:rPr>
          <w:rStyle w:val="C3"/>
          <w:rFonts w:ascii="Courier New" w:hAnsi="Courier New"/>
        </w:rPr>
        <w:t>para las presentaciones de Relevamientos, a partir de 1956, los siguientes períodos para los cuales se les asignarán diferentes alícuotas de acuerdo a su antigüedad, la que será debidamente justificada a saber: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Desde 1957 hasta 1977 se aplicará como alícuota el diez  por mil………………..10 %0           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Desde 1977 hasta 1999 se aplicará como alícuota el once por mil………………..11 %0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Desde 2000 hasta 2010 se aplicará como alícuota el doce  por mil………………..12 %0.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para este sistema de presentación espontánea, DOCE MESES ( 12 ) a partir de la publicación de la presente Ordenanza para  la aplicación de las alícuotas de acuerdo a  lo consignado en el Art.3.-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en función de lo dirimido en la presente Ordenanza la suspensión del Inc. 3), a), b), c) y d), del capítulo VII contribuciones que inciden sobre la construcción de obras. Art.24: de la Ordenanza Tarifaria Nº 8531.-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VEINTICINCO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3F2BDE7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F0B8F4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4339E1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19304A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5B83A0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B04F06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C3380F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AD5E6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0810B0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7F82ABD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F86F67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F74B91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AE2E2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31445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94F4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FED71C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ABA2A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DF8C55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2DDBF21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2010-08-31T10:37:00Z</dcterms:created>
  <cp:lastModifiedBy>Ethan Puglia</cp:lastModifiedBy>
  <cp:lastPrinted>2010-08-30T13:43:00Z</cp:lastPrinted>
  <dcterms:modified xsi:type="dcterms:W3CDTF">2019-03-28T17:34:23Z</dcterms:modified>
  <cp:revision>5</cp:revision>
  <dc:title>PROYECTO DE ORDENANZA VIOLENCIA FAMILIAR</dc:title>
</cp:coreProperties>
</file>