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F274C22" Type="http://schemas.openxmlformats.org/officeDocument/2006/relationships/officeDocument" Target="/word/document.xml" /><Relationship Id="coreR2F274C2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8699</w:t>
      </w:r>
    </w:p>
    <w:p>
      <w:pPr>
        <w:ind w:hanging="561" w:left="561"/>
        <w:jc w:val="both"/>
        <w:rPr>
          <w:rStyle w:val="C3"/>
          <w:rFonts w:ascii="Courier New" w:hAnsi="Courier New"/>
        </w:rPr>
      </w:pPr>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La sanción de la Ordenanza Nº 8591 y del Memorándum Nº 028/10 iniciado por Sección Catastro Municipal y elevado por el Departamento Ejecutivo Municipal con fecha 14 de Abril de 2010; y</w:t>
      </w:r>
    </w:p>
    <w:p>
      <w:pPr>
        <w:ind w:hanging="561" w:left="561"/>
        <w:jc w:val="both"/>
        <w:rPr>
          <w:rStyle w:val="C3"/>
          <w:rFonts w:ascii="Courier New" w:hAnsi="Courier New"/>
        </w:rPr>
      </w:pP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tabs>
          <w:tab w:val="left" w:pos="2824" w:leader="none"/>
        </w:tabs>
      </w:pPr>
    </w:p>
    <w:p>
      <w:pPr>
        <w:ind w:left="426"/>
        <w:jc w:val="both"/>
        <w:rPr>
          <w:rStyle w:val="C3"/>
          <w:rFonts w:ascii="Courier New" w:hAnsi="Courier New"/>
        </w:rPr>
      </w:pPr>
      <w:r>
        <w:rPr>
          <w:rStyle w:val="C3"/>
          <w:rFonts w:ascii="Courier New" w:hAnsi="Courier New"/>
        </w:rPr>
        <w:t>Que en la Norma mencionada, en su Art.1º, se designa con el Nombre de Calle “Gral. Martín Miguel de Güemes” a la calle pública que va desde la intersección de la misma con el camino al Valle de la Buena Esperanza al Oeste, continuando con su concurrencia con Ruta Provincial C45 y hasta su fin con la Ruta Provincial 5, al Este;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Sección Catastro Municipal informa que por medio de Ordenanza Nº 8278, se designa con nombres las calles de Barrio “Villa Camiares”, dándole el nombre de “Atahualpa” a la calle pública sur, que va desde la intersección de la misma con Camino al Valle Buena Esperanza al Oeste hasta la intersección de la misma con la Ruta Provincial C45 al Este;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al existir superposición de nombres en ese sector de la antigua calle pública, y que la designación primera fuera realizada en virtud de una solicitud concreta de los Vecinos de Villa Camiares, por medio de la Comisión de su Centro Vecinal;</w:t>
      </w:r>
    </w:p>
    <w:p>
      <w:pPr>
        <w:ind w:left="426"/>
        <w:jc w:val="both"/>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los nombres de que se trata son de relevante importancia para nuestra sociedad, ya que   “Atahualpa” (Cacique Comechingón) y el “Gral. Martín Miguel de Güemes” en distintos situaciones y aspectos tuvieron un rol protagónico fundamental en la “Historia Grande” de nuestra Patria;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los fines de facilitar la identificación domiciliaria de los Vecinos que habitan y lo hagan en el fututo en esta arteria de la Ciudad, corresponde salvar la situación planteada;</w:t>
      </w:r>
    </w:p>
    <w:p>
      <w:pPr>
        <w:pStyle w:val="P11"/>
        <w:ind w:left="426"/>
        <w:rPr>
          <w:rStyle w:val="C3"/>
        </w:rPr>
      </w:pPr>
    </w:p>
    <w:p>
      <w:pPr>
        <w:ind w:left="426"/>
        <w:jc w:val="both"/>
        <w:rPr>
          <w:rStyle w:val="C3"/>
          <w:rFonts w:ascii="Courier New" w:hAnsi="Courier New"/>
        </w:rPr>
      </w:pPr>
      <w:r>
        <w:rPr>
          <w:rStyle w:val="C3"/>
          <w:rFonts w:ascii="Courier New" w:hAnsi="Courier New"/>
        </w:rPr>
        <w:t xml:space="preserve">Que analizado el  Proyecto de Ordenanza, por la Comisión de Obras y Servicios Públicos, la misma emite despacho favorable, aprobado por Unanimidad en Sesión Ordinaria del día 25 de Agosto de 2010.-</w:t>
      </w:r>
    </w:p>
    <w:p>
      <w:pPr>
        <w:pStyle w:val="P11"/>
        <w:ind w:left="426"/>
        <w:rPr>
          <w:rStyle w:val="C3"/>
        </w:rPr>
      </w:pPr>
    </w:p>
    <w:p>
      <w:pPr>
        <w:pStyle w:val="P11"/>
        <w:ind w:left="426"/>
        <w:rPr>
          <w:rStyle w:val="C3"/>
        </w:rPr>
      </w:pPr>
    </w:p>
    <w:p>
      <w:pPr>
        <w:ind w:left="426"/>
        <w:jc w:val="both"/>
        <w:rPr>
          <w:rStyle w:val="C3"/>
          <w:rFonts w:ascii="Courier New" w:hAnsi="Courier New"/>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pStyle w:val="P12"/>
        <w:ind w:left="0"/>
        <w:rPr>
          <w:rStyle w:val="C3"/>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MODIFÍCASE </w:t>
      </w:r>
      <w:r>
        <w:rPr>
          <w:rStyle w:val="C3"/>
          <w:rFonts w:ascii="Courier New" w:hAnsi="Courier New"/>
        </w:rPr>
        <w:t xml:space="preserve"> el Art.1º de la Ordenanza Nº 8591, el que quedará redactado de la siguiente manera: </w:t>
      </w:r>
      <w:r>
        <w:rPr>
          <w:rStyle w:val="C3"/>
          <w:rFonts w:ascii="Courier New" w:hAnsi="Courier New"/>
          <w:i w:val="1"/>
        </w:rPr>
        <w:t>“</w:t>
      </w:r>
      <w:r>
        <w:rPr>
          <w:rStyle w:val="C3"/>
          <w:rFonts w:ascii="Courier New" w:hAnsi="Courier New"/>
          <w:i w:val="1"/>
          <w:u w:val="single"/>
        </w:rPr>
        <w:t>Art. 1</w:t>
      </w:r>
      <w:r>
        <w:rPr>
          <w:rStyle w:val="C3"/>
          <w:rFonts w:ascii="Courier New" w:hAnsi="Courier New"/>
          <w:i w:val="1"/>
        </w:rPr>
        <w:t xml:space="preserve">: DESIGNASE con el nombre de calle “Gral. Martín Miguel de Güemes” a la actual calle pública sin nombre, que va desde la intersección de la misma con la Ruta Pcial. C45 al Oeste  hasta la su nueva  intersección con la Ruta Pcial. 5 al Este</w:t>
      </w:r>
      <w:r>
        <w:rPr>
          <w:rStyle w:val="C3"/>
          <w:rFonts w:ascii="Courier New" w:hAnsi="Courier New"/>
        </w:rPr>
        <w:t xml:space="preserve">.- </w:t>
      </w:r>
    </w:p>
    <w:p>
      <w:pPr>
        <w:ind w:hanging="426" w:left="426"/>
        <w:jc w:val="right"/>
        <w:rPr>
          <w:rStyle w:val="C3"/>
          <w:rFonts w:ascii="Courier New" w:hAnsi="Courier New"/>
        </w:rPr>
      </w:pPr>
      <w:r>
        <w:rPr>
          <w:rStyle w:val="C3"/>
          <w:rFonts w:ascii="Courier New" w:hAnsi="Courier New"/>
        </w:rPr>
        <w:t>...///</w:t>
      </w: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pPr>
      <w:r>
        <w:t xml:space="preserve">DADA EN LA SALA DE SESIONES DEL HONORABLE CONCEJO DELIBERANTE A LOS VEINTICINCO DÍAS DEL MES DE AGOSTO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45A66F1"/>
    <w:multiLevelType w:val="hybridMultilevel"/>
    <w:lvl w:ilvl="0" w:tplc="401F6029">
      <w:start w:val="0"/>
      <w:numFmt w:val="bullet"/>
      <w:suff w:val="tab"/>
      <w:lvlText w:val=""/>
      <w:lvlJc w:val="left"/>
      <w:pPr>
        <w:ind w:hanging="360" w:left="927"/>
      </w:pPr>
      <w:rPr>
        <w:rFonts w:ascii="Symbol" w:hAnsi="Symbol"/>
      </w:rPr>
    </w:lvl>
    <w:lvl w:ilvl="1" w:tplc="3EEAB7F5">
      <w:start w:val="1"/>
      <w:numFmt w:val="bullet"/>
      <w:suff w:val="tab"/>
      <w:lvlText w:val="o"/>
      <w:lvlJc w:val="left"/>
      <w:pPr>
        <w:ind w:hanging="360" w:left="1647"/>
      </w:pPr>
      <w:rPr>
        <w:rFonts w:ascii="Courier New" w:hAnsi="Courier New"/>
      </w:rPr>
    </w:lvl>
    <w:lvl w:ilvl="2" w:tplc="5C664B2B">
      <w:start w:val="1"/>
      <w:numFmt w:val="bullet"/>
      <w:suff w:val="tab"/>
      <w:lvlText w:val=""/>
      <w:lvlJc w:val="left"/>
      <w:pPr>
        <w:ind w:hanging="360" w:left="2367"/>
      </w:pPr>
      <w:rPr>
        <w:rFonts w:ascii="Wingdings" w:hAnsi="Wingdings"/>
      </w:rPr>
    </w:lvl>
    <w:lvl w:ilvl="3" w:tplc="72F4855F">
      <w:start w:val="1"/>
      <w:numFmt w:val="bullet"/>
      <w:suff w:val="tab"/>
      <w:lvlText w:val=""/>
      <w:lvlJc w:val="left"/>
      <w:pPr>
        <w:ind w:hanging="360" w:left="3087"/>
      </w:pPr>
      <w:rPr>
        <w:rFonts w:ascii="Symbol" w:hAnsi="Symbol"/>
      </w:rPr>
    </w:lvl>
    <w:lvl w:ilvl="4" w:tplc="0D145061">
      <w:start w:val="1"/>
      <w:numFmt w:val="bullet"/>
      <w:suff w:val="tab"/>
      <w:lvlText w:val="o"/>
      <w:lvlJc w:val="left"/>
      <w:pPr>
        <w:ind w:hanging="360" w:left="3807"/>
      </w:pPr>
      <w:rPr>
        <w:rFonts w:ascii="Courier New" w:hAnsi="Courier New"/>
      </w:rPr>
    </w:lvl>
    <w:lvl w:ilvl="5" w:tplc="31C9DFE1">
      <w:start w:val="1"/>
      <w:numFmt w:val="bullet"/>
      <w:suff w:val="tab"/>
      <w:lvlText w:val=""/>
      <w:lvlJc w:val="left"/>
      <w:pPr>
        <w:ind w:hanging="360" w:left="4527"/>
      </w:pPr>
      <w:rPr>
        <w:rFonts w:ascii="Wingdings" w:hAnsi="Wingdings"/>
      </w:rPr>
    </w:lvl>
    <w:lvl w:ilvl="6" w:tplc="7879A56D">
      <w:start w:val="1"/>
      <w:numFmt w:val="bullet"/>
      <w:suff w:val="tab"/>
      <w:lvlText w:val=""/>
      <w:lvlJc w:val="left"/>
      <w:pPr>
        <w:ind w:hanging="360" w:left="5247"/>
      </w:pPr>
      <w:rPr>
        <w:rFonts w:ascii="Symbol" w:hAnsi="Symbol"/>
      </w:rPr>
    </w:lvl>
    <w:lvl w:ilvl="7" w:tplc="4BEEC55E">
      <w:start w:val="1"/>
      <w:numFmt w:val="bullet"/>
      <w:suff w:val="tab"/>
      <w:lvlText w:val="o"/>
      <w:lvlJc w:val="left"/>
      <w:pPr>
        <w:ind w:hanging="360" w:left="5967"/>
      </w:pPr>
      <w:rPr>
        <w:rFonts w:ascii="Courier New" w:hAnsi="Courier New"/>
      </w:rPr>
    </w:lvl>
    <w:lvl w:ilvl="8" w:tplc="7713B1FE">
      <w:start w:val="1"/>
      <w:numFmt w:val="bullet"/>
      <w:suff w:val="tab"/>
      <w:lvlText w:val=""/>
      <w:lvlJc w:val="left"/>
      <w:pPr>
        <w:ind w:hanging="360" w:left="6687"/>
      </w:pPr>
      <w:rPr>
        <w:rFonts w:ascii="Wingdings" w:hAnsi="Wingdings"/>
      </w:rPr>
    </w:lvl>
  </w:abstractNum>
  <w:abstractNum w:abstractNumId="4">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0">
    <w:nsid w:val="3A700CB9"/>
    <w:multiLevelType w:val="hybridMultilevel"/>
    <w:lvl w:ilvl="0" w:tplc="0B120F30">
      <w:start w:val="1"/>
      <w:numFmt w:val="bullet"/>
      <w:suff w:val="tab"/>
      <w:lvlText w:val=""/>
      <w:lvlJc w:val="left"/>
      <w:pPr>
        <w:ind w:hanging="360" w:left="720"/>
        <w:tabs>
          <w:tab w:val="left" w:pos="720" w:leader="none"/>
        </w:tabs>
      </w:pPr>
      <w:rPr>
        <w:rFonts w:ascii="Symbol" w:hAnsi="Symbol"/>
      </w:rPr>
    </w:lvl>
    <w:lvl w:ilvl="1" w:tplc="1BFB957E">
      <w:start w:val="1"/>
      <w:numFmt w:val="bullet"/>
      <w:suff w:val="tab"/>
      <w:lvlText w:val="o"/>
      <w:lvlJc w:val="left"/>
      <w:pPr>
        <w:ind w:hanging="360" w:left="1440"/>
        <w:tabs>
          <w:tab w:val="left" w:pos="1440" w:leader="none"/>
        </w:tabs>
      </w:pPr>
      <w:rPr>
        <w:rFonts w:ascii="Courier New" w:hAnsi="Courier New"/>
      </w:rPr>
    </w:lvl>
    <w:lvl w:ilvl="2" w:tplc="7947A007">
      <w:start w:val="1"/>
      <w:numFmt w:val="bullet"/>
      <w:suff w:val="tab"/>
      <w:lvlText w:val=""/>
      <w:lvlJc w:val="left"/>
      <w:pPr>
        <w:ind w:hanging="360" w:left="2160"/>
        <w:tabs>
          <w:tab w:val="left" w:pos="2160" w:leader="none"/>
        </w:tabs>
      </w:pPr>
      <w:rPr>
        <w:rFonts w:ascii="Wingdings" w:hAnsi="Wingdings"/>
      </w:rPr>
    </w:lvl>
    <w:lvl w:ilvl="3" w:tplc="459DC0FA">
      <w:start w:val="1"/>
      <w:numFmt w:val="bullet"/>
      <w:suff w:val="tab"/>
      <w:lvlText w:val=""/>
      <w:lvlJc w:val="left"/>
      <w:pPr>
        <w:ind w:hanging="360" w:left="2880"/>
        <w:tabs>
          <w:tab w:val="left" w:pos="2880" w:leader="none"/>
        </w:tabs>
      </w:pPr>
      <w:rPr>
        <w:rFonts w:ascii="Symbol" w:hAnsi="Symbol"/>
      </w:rPr>
    </w:lvl>
    <w:lvl w:ilvl="4" w:tplc="21DE506E">
      <w:start w:val="1"/>
      <w:numFmt w:val="bullet"/>
      <w:suff w:val="tab"/>
      <w:lvlText w:val="o"/>
      <w:lvlJc w:val="left"/>
      <w:pPr>
        <w:ind w:hanging="360" w:left="3600"/>
        <w:tabs>
          <w:tab w:val="left" w:pos="3600" w:leader="none"/>
        </w:tabs>
      </w:pPr>
      <w:rPr>
        <w:rFonts w:ascii="Courier New" w:hAnsi="Courier New"/>
      </w:rPr>
    </w:lvl>
    <w:lvl w:ilvl="5" w:tplc="4AE9BBCF">
      <w:start w:val="1"/>
      <w:numFmt w:val="bullet"/>
      <w:suff w:val="tab"/>
      <w:lvlText w:val=""/>
      <w:lvlJc w:val="left"/>
      <w:pPr>
        <w:ind w:hanging="360" w:left="4320"/>
        <w:tabs>
          <w:tab w:val="left" w:pos="4320" w:leader="none"/>
        </w:tabs>
      </w:pPr>
      <w:rPr>
        <w:rFonts w:ascii="Wingdings" w:hAnsi="Wingdings"/>
      </w:rPr>
    </w:lvl>
    <w:lvl w:ilvl="6" w:tplc="43FD8D28">
      <w:start w:val="1"/>
      <w:numFmt w:val="bullet"/>
      <w:suff w:val="tab"/>
      <w:lvlText w:val=""/>
      <w:lvlJc w:val="left"/>
      <w:pPr>
        <w:ind w:hanging="360" w:left="5040"/>
        <w:tabs>
          <w:tab w:val="left" w:pos="5040" w:leader="none"/>
        </w:tabs>
      </w:pPr>
      <w:rPr>
        <w:rFonts w:ascii="Symbol" w:hAnsi="Symbol"/>
      </w:rPr>
    </w:lvl>
    <w:lvl w:ilvl="7" w:tplc="76EFAD26">
      <w:start w:val="1"/>
      <w:numFmt w:val="bullet"/>
      <w:suff w:val="tab"/>
      <w:lvlText w:val="o"/>
      <w:lvlJc w:val="left"/>
      <w:pPr>
        <w:ind w:hanging="360" w:left="5760"/>
        <w:tabs>
          <w:tab w:val="left" w:pos="5760" w:leader="none"/>
        </w:tabs>
      </w:pPr>
      <w:rPr>
        <w:rFonts w:ascii="Courier New" w:hAnsi="Courier New"/>
      </w:rPr>
    </w:lvl>
    <w:lvl w:ilvl="8" w:tplc="6A233F10">
      <w:start w:val="1"/>
      <w:numFmt w:val="bullet"/>
      <w:suff w:val="tab"/>
      <w:lvlText w:val=""/>
      <w:lvlJc w:val="left"/>
      <w:pPr>
        <w:ind w:hanging="360" w:left="6480"/>
        <w:tabs>
          <w:tab w:val="left" w:pos="6480" w:leader="none"/>
        </w:tabs>
      </w:pPr>
      <w:rPr>
        <w:rFonts w:ascii="Wingdings" w:hAnsi="Wingdings"/>
      </w:rPr>
    </w:lvl>
  </w:abstractNum>
  <w:abstractNum w:abstractNumId="11">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2">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3">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4">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5">
    <w:nsid w:val="5A042302"/>
    <w:multiLevelType w:val="hybridMultilevel"/>
    <w:lvl w:ilvl="0" w:tplc="0C792232">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7">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8">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0">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1">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3">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4"/>
  </w:num>
  <w:num w:numId="2">
    <w:abstractNumId w:val="6"/>
  </w:num>
  <w:num w:numId="3">
    <w:abstractNumId w:val="9"/>
  </w:num>
  <w:num w:numId="4">
    <w:abstractNumId w:val="17"/>
  </w:num>
  <w:num w:numId="5">
    <w:abstractNumId w:val="21"/>
  </w:num>
  <w:num w:numId="6">
    <w:abstractNumId w:val="4"/>
  </w:num>
  <w:num w:numId="7">
    <w:abstractNumId w:val="16"/>
  </w:num>
  <w:num w:numId="8">
    <w:abstractNumId w:val="1"/>
  </w:num>
  <w:num w:numId="9">
    <w:abstractNumId w:val="3"/>
  </w:num>
  <w:num w:numId="10">
    <w:abstractNumId w:val="5"/>
  </w:num>
  <w:num w:numId="11">
    <w:abstractNumId w:val="12"/>
  </w:num>
  <w:num w:numId="12">
    <w:abstractNumId w:val="13"/>
  </w:num>
  <w:num w:numId="13">
    <w:abstractNumId w:val="25"/>
  </w:num>
  <w:num w:numId="14">
    <w:abstractNumId w:val="20"/>
  </w:num>
  <w:num w:numId="15">
    <w:abstractNumId w:val="19"/>
  </w:num>
  <w:num w:numId="16">
    <w:abstractNumId w:val="10"/>
  </w:num>
  <w:num w:numId="17">
    <w:abstractNumId w:val="11"/>
  </w:num>
  <w:num w:numId="18">
    <w:abstractNumId w:val="22"/>
  </w:num>
  <w:num w:numId="19">
    <w:abstractNumId w:val="7"/>
  </w:num>
  <w:num w:numId="20">
    <w:abstractNumId w:val="2"/>
  </w:num>
  <w:num w:numId="21">
    <w:abstractNumId w:val="0"/>
  </w:num>
  <w:num w:numId="22">
    <w:abstractNumId w:val="15"/>
  </w:num>
  <w:num w:numId="23">
    <w:abstractNumId w:val="23"/>
  </w:num>
  <w:num w:numId="24">
    <w:abstractNumId w:val="18"/>
  </w:num>
  <w:num w:numId="25">
    <w:abstractNumId w:val="8"/>
  </w:num>
  <w:num w:numId="26">
    <w:abstractNumId w:val="2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2010-08-31T11:05:00Z</dcterms:created>
  <cp:lastModifiedBy>Ethan Puglia</cp:lastModifiedBy>
  <cp:lastPrinted>2010-08-31T10:58:00Z</cp:lastPrinted>
  <dcterms:modified xsi:type="dcterms:W3CDTF">2019-03-28T17:34:23Z</dcterms:modified>
  <cp:revision>5</cp:revision>
  <dc:title>PROYECTO DE ORDENANZA VIOLENCIA FAMILIAR</dc:title>
</cp:coreProperties>
</file>