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92C3D5" Type="http://schemas.openxmlformats.org/officeDocument/2006/relationships/officeDocument" Target="/word/document.xml" /><Relationship Id="coreR7692C3D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8700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gran cantidad de servicios por medio del sistema de entrega a domicilio (denominado comúnmente Moto-Delivery), existentes en nuestra Ciudad de Alta Gracia;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de permanente preocupación del Gobierno de la Ciudad la Seguridad Vial y Ciudadana, por las graves consecuencias y secuelas que se producen en accidentes en la vía pública de conductores de motocicletas y ciclomotores;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Servicio de entrega a Domicilio es realizado en motovehículos, conducidos por sus propietarios o por conductores contratados por empresas y/o comercios de la Ciudad que utilizan este sistema para realizar sus ventas;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al haberse incrementado sensiblemente dicha modalidad, en empresas y/o comercios de nuestra Ciudad, cualquiera sea su rubro, utilizando motovehículos de todas las cilindradas, se hace necesario ordenar y controlar el uso de esta metodología, a los fines de evitar consecuencias irreparables;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necesidad de trabajar lleva a Vecinos de nuestra Ciudad (en su mayoría Jóvenes), a realizar este tipo de tareas, sin ningún tipo de protección y control, bajo la supervisión a criterio de la empresa y/o comercio que lo contrató;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denominados moto-delivery circulan principalmente en horarios nocturnos, sin casco ni las mínimas medidas de seguridad (luces comunes y de giro, frenos, espejos retrovisores, etc.);          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todo lo antes dicho, se hace necesaria la creación de un marco legal adecuado para facilitar los controles y así resguardar la seguridad de los prestadores de este tipo de servicios y de los Vecinos en general;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 Proyecto de Ordenanza, por la Comisión de Legislación General, la misma emite despacho favorable, aprobado por Unanimidad en Sesión Ordinaria del día 25 de Agosto de 2010.-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0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REGÚLASE </w:t>
      </w:r>
      <w:r>
        <w:rPr>
          <w:rStyle w:val="C3"/>
          <w:rFonts w:ascii="Courier New" w:hAnsi="Courier New"/>
        </w:rPr>
        <w:t xml:space="preserve"> por la presente la actividad del Servicio de Entrega a Domicilio (denominado Moto- Delivery) en la  Ciudad de Alta Gracia.-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DENOMÍNASE </w:t>
      </w:r>
      <w:r>
        <w:rPr>
          <w:rStyle w:val="C3"/>
          <w:rFonts w:ascii="Courier New" w:hAnsi="Courier New"/>
        </w:rPr>
        <w:t>“Servicio de Reparto a Domicilio” a la entrega en domicilios particulares por parte de empresas y/o comercios cualquiera sea su rubro, mediante motovehículos (motocicletas, motonetas o ciclomotores), conducidos por sus propietarios, por conductores autorizados por éstos o por conductores contratados por las mencionadas empresas y/o comercios.-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DETERMÍNASE </w:t>
      </w:r>
      <w:r>
        <w:rPr>
          <w:rStyle w:val="C3"/>
          <w:rFonts w:ascii="Courier New" w:hAnsi="Courier New"/>
        </w:rPr>
        <w:t>como Ámbito de Aplicación de la presente a todos los Servicios de Entrega a Domicilio descriptos en el Artículo precedente, que ejerzan su actividad (comercios y/o empresas, personas físicas o jurídicas) dentro del Ejido Municipal de nuestra Ciudad.-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CRÉASE </w:t>
      </w:r>
      <w:r>
        <w:rPr>
          <w:rStyle w:val="C3"/>
          <w:rFonts w:ascii="Courier New" w:hAnsi="Courier New"/>
        </w:rPr>
        <w:t>un Registro Único de Motovehículos (R.U.M.) de todas las cilindradas, que presten el tipo de servicio especificado en el Art.2º de la presente, ya sea comercios y/o empresas, cualquiera sea su rubro, debiendo constar el mismo con el nombre de fantasía del comercio y/o empresa que lo preste, los datos de su titular y los datos de los propietarios de los motovehículos (Apellido y Nombre, DNI, Domicilio, Nº de Licencia de Conducir).-</w:t>
      </w:r>
    </w:p>
    <w:p>
      <w:pPr>
        <w:ind w:hanging="426" w:left="426"/>
        <w:jc w:val="both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</w:rPr>
        <w:t xml:space="preserve">    </w:t>
      </w:r>
      <w:r>
        <w:rPr>
          <w:rStyle w:val="C3"/>
          <w:rFonts w:ascii="Courier New" w:hAnsi="Courier New"/>
          <w:u w:val="single"/>
        </w:rPr>
        <w:t xml:space="preserve">  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ESTABLÉCESE </w:t>
      </w:r>
      <w:r>
        <w:rPr>
          <w:rStyle w:val="C3"/>
          <w:rFonts w:ascii="Courier New" w:hAnsi="Courier New"/>
        </w:rPr>
        <w:t>que la Secretaría General y de Coordinación Administrativa, por medio del Área de Inspectoría (Inspección General) o quien la reemplace en el futuro, será la Autoridad de Aplicación y control de la presente normativa.-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Art.6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DETERMÍNANSE </w:t>
      </w:r>
      <w:r>
        <w:rPr>
          <w:rStyle w:val="C3"/>
          <w:rFonts w:ascii="Courier New" w:hAnsi="Courier New"/>
        </w:rPr>
        <w:t>las distintas Categorías de los productos a trasladar para ser entregados a domicilio:</w:t>
      </w:r>
    </w:p>
    <w:p>
      <w:pPr>
        <w:numPr>
          <w:ilvl w:val="0"/>
          <w:numId w:val="28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Categoría “A”: Productos alimenticios o productos comestibles, elaborados o no, dependiente del establecimiento gastronómico o comercio del rubro.</w:t>
      </w:r>
    </w:p>
    <w:p>
      <w:pPr>
        <w:numPr>
          <w:ilvl w:val="0"/>
          <w:numId w:val="28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Categoría “B”: Elementos comercializables en motovehículos, exceptuando alimentos y correspondencia.-</w:t>
      </w:r>
    </w:p>
    <w:p>
      <w:pPr>
        <w:numPr>
          <w:ilvl w:val="0"/>
          <w:numId w:val="28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Categoría “C”: Correspondencia a sobre abierto (tarjetas, folletos, invitaciones, publicidades, mensajes varios, etc.) y pago de impuestos, tasas y servicios, trámites bancarios y administrativos.-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...///4.-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Art.7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DEBERÁN </w:t>
      </w:r>
      <w:r>
        <w:rPr>
          <w:rStyle w:val="C3"/>
          <w:rFonts w:ascii="Courier New" w:hAnsi="Courier New"/>
        </w:rPr>
        <w:t>los comercios y/o empresas que presten este tipo de servicio, cumplimentar con los siguientes requisitos para lograr la habilitación y/o la ampliación de rubro:</w:t>
      </w:r>
    </w:p>
    <w:p>
      <w:pPr>
        <w:numPr>
          <w:ilvl w:val="0"/>
          <w:numId w:val="27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Identificación del comercio y/o empresa: Nombre o Razón Social.-.</w:t>
      </w:r>
    </w:p>
    <w:p>
      <w:pPr>
        <w:numPr>
          <w:ilvl w:val="0"/>
          <w:numId w:val="27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Listado de Motovehículos afectados al servicio con dominio, marca, modelo y pólizas de seguros que correspondan.</w:t>
      </w:r>
    </w:p>
    <w:p>
      <w:pPr>
        <w:numPr>
          <w:ilvl w:val="0"/>
          <w:numId w:val="27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Poseer espacio adecuado para el estacionamiento y/o permanencia transitoria de todas las unidades, sin generar molestias a terceros.</w:t>
      </w:r>
    </w:p>
    <w:p>
      <w:pPr>
        <w:numPr>
          <w:ilvl w:val="0"/>
          <w:numId w:val="27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En caso de estar ya en funcionamiento, la documentación que acredite su inscripción en la actividad que desarrolla.</w:t>
      </w:r>
    </w:p>
    <w:p>
      <w:pPr>
        <w:numPr>
          <w:ilvl w:val="0"/>
          <w:numId w:val="27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Listado de los Conductores Autorizados para prestar el servicio con su correspondiente Número de Licencia para Conducir, acreditación de propiedad del vehículo o autorización del titular para su uso, el que deberá ser actualizado ante la Autoridad de Aplicación al momento de ser modificado.</w:t>
      </w:r>
    </w:p>
    <w:p>
      <w:pPr>
        <w:numPr>
          <w:ilvl w:val="0"/>
          <w:numId w:val="27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Uso obligatorio de Chaleco Reflectante de color amarillo de los conductores de  Motovehículos, los que deberán tener en lugar visible la identificación del comercio y/o empresa a la que pertenece, ello sin perjuicio del cumplimiento de la normativa específica que regula la circulación y el tránsito en la vía pública.-    </w:t>
      </w:r>
    </w:p>
    <w:p>
      <w:pPr>
        <w:ind w:left="1070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Art.8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ESTABLÉCESE</w:t>
      </w:r>
      <w:r>
        <w:rPr>
          <w:rStyle w:val="C3"/>
          <w:rFonts w:ascii="Courier New" w:hAnsi="Courier New"/>
        </w:rPr>
        <w:t>, de acuerdo a la categoría del producto transportado, que el contenedor del mismo, deberá cumplir con las siguientes condiciones:</w:t>
      </w:r>
    </w:p>
    <w:p>
      <w:pPr>
        <w:numPr>
          <w:ilvl w:val="0"/>
          <w:numId w:val="29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Para todas las modalidades, deberá llevar impreso en lugar visible el nombre de comercio, agencia y/o empresa  que  presta  el  servicio, con el número de </w:t>
      </w:r>
    </w:p>
    <w:p>
      <w:pPr>
        <w:ind w:left="9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...///5.-</w:t>
      </w:r>
    </w:p>
    <w:p>
      <w:pPr>
        <w:ind w:left="960"/>
        <w:jc w:val="right"/>
        <w:rPr>
          <w:rStyle w:val="C3"/>
          <w:rFonts w:ascii="Courier New" w:hAnsi="Courier New"/>
        </w:rPr>
      </w:pPr>
    </w:p>
    <w:p>
      <w:pPr>
        <w:ind w:left="9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teléfono de la misma y no deberá obstaculizar la visibilidad, las luces, chapa patente e instrumental del motovehículo, ni comprometer la estabilidad del mismo.-</w:t>
      </w:r>
    </w:p>
    <w:p>
      <w:pPr>
        <w:ind w:left="960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29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Para la modalidad establecida en la Categoría “A” del Art.6º, el contenedor deberá cumplir con lo siguiente: </w:t>
      </w:r>
    </w:p>
    <w:p>
      <w:pPr>
        <w:ind w:firstLine="1275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1)</w:t>
      </w:r>
      <w:r>
        <w:rPr>
          <w:rStyle w:val="C3"/>
          <w:rFonts w:ascii="Courier New" w:hAnsi="Courier New"/>
          <w:color w:val="FFFFFF"/>
        </w:rPr>
        <w:t>h</w:t>
      </w:r>
      <w:r>
        <w:rPr>
          <w:rStyle w:val="C3"/>
          <w:rFonts w:ascii="Courier New" w:hAnsi="Courier New"/>
        </w:rPr>
        <w:t>Caja exterior de material altamente resistente.</w:t>
      </w:r>
    </w:p>
    <w:p>
      <w:pPr>
        <w:tabs>
          <w:tab w:val="left" w:pos="1134" w:leader="none"/>
          <w:tab w:val="left" w:pos="1276" w:leader="none"/>
        </w:tabs>
        <w:ind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  <w:tab/>
        <w:t xml:space="preserve">      2)</w:t>
      </w:r>
      <w:r>
        <w:rPr>
          <w:rStyle w:val="C3"/>
          <w:rFonts w:ascii="Courier New" w:hAnsi="Courier New"/>
          <w:color w:val="FFFFFF"/>
        </w:rPr>
        <w:t>h</w:t>
      </w:r>
      <w:r>
        <w:rPr>
          <w:rStyle w:val="C3"/>
          <w:rFonts w:ascii="Courier New" w:hAnsi="Courier New"/>
        </w:rPr>
        <w:t>Paredes interiores de material isotérmico y lavables.</w:t>
      </w:r>
    </w:p>
    <w:p>
      <w:pPr>
        <w:ind w:hanging="393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  <w:tab/>
        <w:t xml:space="preserve">         3)</w:t>
      </w:r>
      <w:r>
        <w:rPr>
          <w:rStyle w:val="C3"/>
          <w:rFonts w:ascii="Courier New" w:hAnsi="Courier New"/>
          <w:color w:val="FFFFFF"/>
        </w:rPr>
        <w:t>h</w:t>
      </w:r>
      <w:r>
        <w:rPr>
          <w:rStyle w:val="C3"/>
          <w:rFonts w:ascii="Courier New" w:hAnsi="Courier New"/>
        </w:rPr>
        <w:t>Compartimentos, en caso de tenerlos, regulables y desmontables.</w:t>
      </w:r>
    </w:p>
    <w:p>
      <w:pPr>
        <w:ind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4) Cierre hermético.</w:t>
      </w:r>
    </w:p>
    <w:p>
      <w:pPr>
        <w:ind w:hanging="393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  <w:tab/>
        <w:t xml:space="preserve">         5)</w:t>
      </w:r>
      <w:r>
        <w:rPr>
          <w:rStyle w:val="C3"/>
          <w:rFonts w:ascii="Courier New" w:hAnsi="Courier New"/>
          <w:color w:val="FFFFFF"/>
        </w:rPr>
        <w:t>h</w:t>
      </w:r>
      <w:r>
        <w:rPr>
          <w:rStyle w:val="C3"/>
          <w:rFonts w:ascii="Courier New" w:hAnsi="Courier New"/>
        </w:rPr>
        <w:t>Observar estrictamente toda disposición emanada por el Código Alimentario Nacional y Reglamento Alimentario Argentino, hecho que deberá ser verificado y autorizado por el Área de Control Alimentario Municipal.-</w:t>
      </w:r>
    </w:p>
    <w:p>
      <w:pPr>
        <w:ind w:hanging="818" w:left="1418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29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En todos los casos, el Conductor deberá circular munido de la documentación (además de la propia para la circulación vehicular) que acredite la inscripción vigente en el R.U.M.-</w:t>
      </w:r>
    </w:p>
    <w:p>
      <w:pPr>
        <w:ind w:left="9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Art.9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SERÁ </w:t>
      </w:r>
      <w:r>
        <w:rPr>
          <w:rStyle w:val="C3"/>
          <w:rFonts w:ascii="Courier New" w:hAnsi="Courier New"/>
        </w:rPr>
        <w:t>responsabilidad del propietario o persona física a nombre de quien se otorgue la habilitación del comercio y/o empresa, del correcto funcionamiento del servicio y del cumplimiento de todo lo establecido en la presente.-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</w:t>
      </w:r>
      <w:r>
        <w:rPr>
          <w:rStyle w:val="C3"/>
          <w:rFonts w:ascii="JaneAusten" w:hAnsi="JaneAusten"/>
          <w:b w:val="0"/>
          <w:sz w:val="24"/>
        </w:rPr>
        <w:t>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...///6.-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Art.10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SANCIONES:</w:t>
      </w:r>
    </w:p>
    <w:p>
      <w:pPr>
        <w:numPr>
          <w:ilvl w:val="0"/>
          <w:numId w:val="31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Faltas de Tránsito: Serán responsables según las Ordenanzas que regulan la materia; de manera conjunta, indistinta y solidaria por las faltas constatadas en ocasión  o  con motivo del tránsito y/o la circulación 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en la vía pública con los vehículos identificados y afectados a la prestación del servicio determinado por el Art.2º de la presente, conductores; titulares de los comercios y/o empresas que presten dicho servicio y propietario del vehículo afectado al mismo.-</w:t>
      </w:r>
    </w:p>
    <w:p>
      <w:pPr>
        <w:numPr>
          <w:ilvl w:val="0"/>
          <w:numId w:val="31"/>
        </w:numPr>
        <w:ind w:hanging="567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Incumplimiento de la presente Ordenanza: El  incumplimiento a algunas de las obligaciones impuestas en ésta a titulares de los comercios y/o empresas que presten el servicio regulado por la misma; será sancionado con multa mínima de 50 UF (unidades de Falta) y máxima de 500 UF, sin perjuicio de las sanciones específicas que procedan por incumplimiento al Código de Faltas Municipal; al Código Alimentario Nacional y demás referidas a la sanidad e higiene alimentaria que protejan a usuarios y/o consumidores.-  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DEBERÁN </w:t>
      </w:r>
      <w:r>
        <w:rPr>
          <w:rStyle w:val="C3"/>
          <w:rFonts w:ascii="Courier New" w:hAnsi="Courier New"/>
        </w:rPr>
        <w:t xml:space="preserve">los actuales comercios y/o empresas prestatarios de este tipo de servicios, en un plazo de  SESENTA (60) días a partir de la promulgación de la presente, adecuarse a sus disposiciones y reglamentaciones. 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Art.12:</w:t>
      </w:r>
      <w:r>
        <w:rPr>
          <w:rStyle w:val="C3"/>
          <w:rFonts w:ascii="Courier New" w:hAnsi="Courier New"/>
          <w:sz w:val="24"/>
        </w:rPr>
        <w:t xml:space="preserve"> DEBERÁ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De</w:t>
      </w:r>
      <w:r>
        <w:rPr>
          <w:rStyle w:val="C3"/>
          <w:rFonts w:ascii="Courier New" w:hAnsi="Courier New"/>
          <w:b w:val="0"/>
          <w:sz w:val="24"/>
        </w:rPr>
        <w:t>partament</w:t>
      </w:r>
      <w:r>
        <w:rPr>
          <w:rStyle w:val="C3"/>
          <w:rFonts w:ascii="Courier New" w:hAnsi="Courier New"/>
          <w:b w:val="0"/>
          <w:sz w:val="24"/>
        </w:rPr>
        <w:t>o</w:t>
      </w:r>
      <w:r>
        <w:rPr>
          <w:rStyle w:val="C3"/>
          <w:rFonts w:ascii="Courier New" w:hAnsi="Courier New"/>
          <w:b w:val="0"/>
          <w:sz w:val="24"/>
        </w:rPr>
        <w:t xml:space="preserve"> Ejecutivo reglamentar la presente, previo a dar publicidad y conocimiento de la ciudadanía de lo determinado en la presente</w:t>
      </w:r>
    </w:p>
    <w:p>
      <w:pPr>
        <w:pStyle w:val="P16"/>
        <w:ind w:left="113"/>
        <w:jc w:val="center"/>
        <w:rPr>
          <w:rStyle w:val="C3"/>
          <w:rFonts w:ascii="Courier New" w:hAnsi="Courier New"/>
        </w:rPr>
      </w:pP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...///7.-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VEINTICINCO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BA4C21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6E3404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00540E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7DBB87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DC371D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FAC681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B7D574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F036CD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7FDB66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6371629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E6C9AB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CCF35B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03C80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03575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64029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12133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41BBA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2C5934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1C1709E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2010-08-31T11:12:00Z</dcterms:created>
  <cp:lastModifiedBy>Ethan Puglia</cp:lastModifiedBy>
  <cp:lastPrinted>2010-08-31T11:37:00Z</cp:lastPrinted>
  <dcterms:modified xsi:type="dcterms:W3CDTF">2019-03-28T17:34:23Z</dcterms:modified>
  <cp:revision>6</cp:revision>
  <dc:title>PROYECTO DE ORDENANZA VIOLENCIA FAMILIAR</dc:title>
</cp:coreProperties>
</file>