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54014C21" Type="http://schemas.openxmlformats.org/officeDocument/2006/relationships/officeDocument" Target="/word/document.xml" /><Relationship Id="coreR54014C2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8702</w:t>
      </w:r>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394/I/07 iniciado por la Secretaria de Obras y Servicios Públicos – Área Planeamiento – Aprobación de Loteo – Villa Residencial cerrada “La Hornilla” y su acumulado Expediente Nº 336/I/10 iniciado por la Secretaría de Obras Publicas – Fideicomiso “La Hornilla” – Donación;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el Fideicomiso “La Hornilla” inicio la presentación a Fs.4, solicitando la aprobación como Barrio Cerrado Residencial;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Fs.258 en fecha 15 de Octubre de 2009 el Fideicomiso “La Hornilla”, manifiesta que el Loteo Residencial denominado “La Hornilla” se ejecutara como Loteo abierto;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Fs.263 se presenta la Previa del Loteo Abierto y a través de la Sección  de Obras Privadas y del Área de Planeamiento, solicitan el cumplimiento de la Ordenanza Nº 1294;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Fs.265 se presenta factibilidad técnica de provisión y suministro de agua potable por parte del EMSeP, obra a realizar por el fideicomiso. A Fs. 266/267 se presentó Plano de Urbanización con vínculos a la red urbana existente y una alternativa de Urbanización a proyectar y definir sobre el Loteo denominado “A” con perímetro  de  línea  de ribera, determinado  por  DIPAS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w:t>
      </w:r>
      <w:r>
        <w:rPr>
          <w:rStyle w:val="C3"/>
          <w:rFonts w:ascii="JaneAusten" w:hAnsi="JaneAusten"/>
          <w:b w:val="0"/>
          <w:sz w:val="24"/>
        </w:rPr>
        <w:t xml:space="preserve"> Año del Bicentenario de la Revolución de Mayo”</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(Autoridad de Aplicación). A Fs.268/277 Plano de red vial y escurrimientos y el Estudio de Cuencas. Y a Fs. 141/244 se presento la Evaluación de Impacto Ambiental, suscripto por el Ing. Pablo H. Mazzini;</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Fs.291 luce el informe final elaborado por la Secretaría de Obras Públicas, el cual expresa, que habiendo recibido el Área Técnica Planeamiento el nuevo diseño, se señalizaron las situaciones a modificar, las cuales obran en el plano adjunto debidamente corregidas;</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observaron los temas concernientes a transitabilidad y accesibilidad con las urbanizaciones existentes colindantes al norte, continuidad de traza de la Avda. de Mayo, delimitación del espacio público a ambos lados del Arroyo Santa Cruz, subdivisión de la tierra, conformación de espacios verdes y complementarios, futuros vínculos viales al sur, y determinaciones de superficies exactas de las áreas consignadas a los efectos de la donación de las mismas a la Municipalidad de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corresponde entonces en primer término y de acuerdo a lo establecido por el Art.79º de la Carta Orgánica Municipal aceptar la donación efectuada por el Fideicomiso “La Hornilla” de las calles, Espacios Verdes E.V.9. (con una superficie de 7.991 m2), Espacio Comunitario E.C. (con una superficie de 10.585 m2), Dominio Público D.P. (con una superficie ocupada por la línea de ribera delimitada correspondiente al Arroyo Santa Cruz, de 6.105 m2) en el Loteo denominado: Loteo Residencial Fideicomiso La Hornilla, cuyas designaciones, superficies y ubicación se encuentran consignados en los planos presentados;</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acuerdo a los antecedentes obrantes en el Expediente por el cual, el Departamento Ejecutivo eleva a este Cuerpo con los planos del Loteo presentado por el Fideicomiso La Hornilla, y en función de la creciente demanda social, en busca de lograr el tan ansiado techo propio y la factibilidad del mayor aprovechamiento de las tierras conseguidas, es que corresponde la aprobación de: Loteo Residencial La Hornilla, cuyas designaciones, superficies y ubicación se encuentran consignados en los planos presentados y que obran en el presente Expediente 394/I/07 y su acumulado Expediente 336/I/10;</w:t>
      </w:r>
    </w:p>
    <w:p>
      <w:pPr>
        <w:ind w:left="426"/>
        <w:jc w:val="both"/>
        <w:rPr>
          <w:rStyle w:val="C3"/>
          <w:rFonts w:ascii="Courier New" w:hAnsi="Courier New"/>
        </w:rPr>
      </w:pPr>
    </w:p>
    <w:p>
      <w:pPr>
        <w:ind w:firstLine="23" w:left="426"/>
        <w:jc w:val="both"/>
        <w:rPr>
          <w:rStyle w:val="C3"/>
          <w:rFonts w:ascii="Courier New" w:hAnsi="Courier New"/>
        </w:rPr>
      </w:pPr>
      <w:r>
        <w:rPr>
          <w:rStyle w:val="C3"/>
          <w:rFonts w:ascii="Courier New" w:hAnsi="Courier New"/>
        </w:rPr>
        <w:t>Que la habilitación quedara sujeta: a la creación de su propia planta de tratamientos de líquidos cloacales o a su conexión en red, previa autorización del EMSeP, en caso de no aprobar Dipas el método de tratamiento y disposición de los efluentes cloacales de cámaras sépticas con disposición dentro de cada terreno y al cumplimiento de lo que establezcan los Organismos ambientales estatales competentes para el desarrollo armónico y equilibrado;</w:t>
      </w:r>
    </w:p>
    <w:p>
      <w:pPr>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analizado el  Expediente de referencia, por el Concejo en Comisión, el mismo resuelve su aprobación,  por Mayoría en Sesión Ordinaria del día 01 de Septiembre de 2010.-</w:t>
      </w:r>
    </w:p>
    <w:p>
      <w:pPr>
        <w:pStyle w:val="P11"/>
        <w:ind w:left="426"/>
        <w:rPr>
          <w:rStyle w:val="C3"/>
        </w:rPr>
      </w:pPr>
    </w:p>
    <w:p>
      <w:pPr>
        <w:pStyle w:val="P11"/>
        <w:ind w:left="426"/>
        <w:rPr>
          <w:rStyle w:val="C3"/>
        </w:rPr>
      </w:pPr>
    </w:p>
    <w:p>
      <w:pPr>
        <w:ind w:left="426"/>
        <w:jc w:val="both"/>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0"/>
        <w:jc w:val="right"/>
      </w:pPr>
      <w: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w:t>
      </w:r>
      <w:r>
        <w:rPr>
          <w:rStyle w:val="C3"/>
          <w:rFonts w:ascii="JaneAusten" w:hAnsi="JaneAusten"/>
          <w:b w:val="0"/>
          <w:sz w:val="24"/>
        </w:rPr>
        <w:t>2010 Año del Bicentenario de la Revolución de Mayo”</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ACEPTESE</w:t>
      </w:r>
      <w:r>
        <w:rPr>
          <w:rStyle w:val="C3"/>
          <w:rFonts w:ascii="Courier New" w:hAnsi="Courier New"/>
        </w:rPr>
        <w:t xml:space="preserve"> la donación de los espacios destinados Espacios Verdes, Reserva Municipal y Calles, conforme al siguiente detalle: Espacio Verde Nº 1, con una Superficie de 1924.87 m2; Espacio Verde Nº 2, con una superficie de 20450.62m2;  Espacio Verde Nº 3, con una Superficie de 1532.10 m2; Espacio Verde Nº 4, con una Superficie de 5513.98 m2; Espacio Verde Nº 5, con una Superficie de 1341.12 m2;  Espacio Verde Nº 6 con una Superficie de 1185.04 m2; Espacio Verde Nº 7, con una Superficie de 1480.94 m2; Espacio Verde Nº 8, con una Superficie de 6393.36 m2; Espacio Verde Nº 9, con una Superficie de 7931.26 m2; Espacio Verde Nº 10, con una Superficie de 834.68 m2; Espacio Verde Nº 11, con una Superficie de  32.431,69 m2; haciendo un total de 81019,66m2; Espacio para Reserva Municipal, con una Superficie de 9563.99 m2, y una Superficie de 94352.97 m2 destinada a calles, todo conforme al Plano de Loteo que obra a Foja 38, 39, 40 y 41 del Expediente  Nº 313/2012</w:t>
      </w:r>
      <w:r>
        <w:rPr>
          <w:rStyle w:val="C13"/>
          <w:rFonts w:ascii="Times New Roman" w:hAnsi="Times New Roman"/>
        </w:rPr>
        <w:footnoteReference w:id="0"/>
      </w: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APR</w:t>
      </w:r>
      <w:r>
        <w:rPr>
          <w:rStyle w:val="C3"/>
          <w:rFonts w:ascii="Courier New" w:hAnsi="Courier New"/>
          <w:b w:val="1"/>
        </w:rPr>
        <w:t>UEBASE</w:t>
      </w:r>
      <w:r>
        <w:rPr>
          <w:rStyle w:val="C3"/>
          <w:rFonts w:ascii="Courier New" w:hAnsi="Courier New"/>
        </w:rPr>
        <w:t xml:space="preserve"> el plano del Loteo Residencial La Hornilla, cuyas designaciones, superficies y ubicación se encuentran consignados en los planos presentados y que obran en el presente; condicionado al cumplimiento de la construcción por parte de los solicitantes, de una planta de tratamiento de líquidos cloacales o a su conexión en red, previa autorización de la Empresa prestataria del servicio, en caso de no aprobar Dipas el método propuesto y al cumplimiento de lo que establezcan los Organismos ambientales estatales competentes para el desarrollo armónico y equilibrado.-</w:t>
      </w:r>
    </w:p>
    <w:p>
      <w:pPr>
        <w:pStyle w:val="P16"/>
        <w:ind w:left="113"/>
        <w:jc w:val="center"/>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UN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30"/>
      </w:pPr>
      <w:r>
        <w:rPr>
          <w:rStyle w:val="C13"/>
        </w:rPr>
        <w:footnoteRef/>
      </w:r>
      <w:r>
        <w:t xml:space="preserve"> Texto ordenado según Ord. Nro 9591.</w:t>
      </w:r>
    </w:p>
    <w:p>
      <w:pPr>
        <w:pStyle w:val="P30"/>
        <w:jc w:val="both"/>
        <w:rPr>
          <w:rStyle w:val="C3"/>
          <w:i w:val="1"/>
        </w:rPr>
      </w:pPr>
      <w:r>
        <w:t xml:space="preserve">Texto original: </w:t>
      </w:r>
      <w:r>
        <w:rPr>
          <w:rStyle w:val="C3"/>
          <w:rFonts w:ascii="Calibri" w:hAnsi="Calibri"/>
          <w:i w:val="1"/>
        </w:rPr>
        <w:t>“</w:t>
      </w:r>
      <w:r>
        <w:rPr>
          <w:rStyle w:val="C3"/>
          <w:rFonts w:ascii="Calibri" w:hAnsi="Calibri"/>
          <w:i w:val="1"/>
        </w:rPr>
        <w:t>ACEPTASE la donación efectuada por el Fideicomiso “La Hornilla” de las calles, Espacios Verdes E.V.9. (con una superficie de 7.991 m2), Espacio Comunitario E.C. (con una superficie de 10.585 m2), Dominio Público D.P. (con una superficie ocupada por la líne</w:t>
      </w:r>
      <w:r>
        <w:rPr>
          <w:rStyle w:val="C3"/>
          <w:rFonts w:ascii="Calibri" w:hAnsi="Calibri"/>
          <w:i w:val="1"/>
        </w:rPr>
        <w:t>a de ribera delimitada correspondiente al Arroyo Santa Cruz, de 6.105 m2) en el Loteo denominado: Loteo Residencial Fideicomiso La Hornilla cuyas designaciones, superficies y ubicación se encuentran consignados en los planos presentados A Fs.293 segunda pr</w:t>
      </w:r>
      <w:r>
        <w:rPr>
          <w:rStyle w:val="C3"/>
          <w:rFonts w:ascii="Calibri" w:hAnsi="Calibri"/>
          <w:i w:val="1"/>
        </w:rPr>
        <w:t>esentación</w:t>
      </w:r>
      <w:r>
        <w:rPr>
          <w:rStyle w:val="C3"/>
          <w:rFonts w:ascii="Calibri" w:hAnsi="Calibri"/>
          <w:i w:val="1"/>
        </w:rPr>
        <w:t>”</w:t>
      </w:r>
      <w:r>
        <w:rPr>
          <w:rStyle w:val="C3"/>
          <w:rFonts w:ascii="Calibri" w:hAnsi="Calibri"/>
          <w:i w:val="1"/>
        </w:rPr>
        <w:t>.</w:t>
      </w:r>
    </w:p>
  </w:footnote>
</w:footnotes>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EA2DA56">
      <w:start w:val="0"/>
      <w:numFmt w:val="bullet"/>
      <w:suff w:val="tab"/>
      <w:lvlText w:val=""/>
      <w:lvlJc w:val="left"/>
      <w:pPr>
        <w:ind w:hanging="360" w:left="927"/>
      </w:pPr>
      <w:rPr>
        <w:rFonts w:ascii="Symbol" w:hAnsi="Symbol"/>
      </w:rPr>
    </w:lvl>
    <w:lvl w:ilvl="1" w:tplc="53481E43">
      <w:start w:val="1"/>
      <w:numFmt w:val="bullet"/>
      <w:suff w:val="tab"/>
      <w:lvlText w:val="o"/>
      <w:lvlJc w:val="left"/>
      <w:pPr>
        <w:ind w:hanging="360" w:left="1647"/>
      </w:pPr>
      <w:rPr>
        <w:rFonts w:ascii="Courier New" w:hAnsi="Courier New"/>
      </w:rPr>
    </w:lvl>
    <w:lvl w:ilvl="2" w:tplc="3196F917">
      <w:start w:val="1"/>
      <w:numFmt w:val="bullet"/>
      <w:suff w:val="tab"/>
      <w:lvlText w:val=""/>
      <w:lvlJc w:val="left"/>
      <w:pPr>
        <w:ind w:hanging="360" w:left="2367"/>
      </w:pPr>
      <w:rPr>
        <w:rFonts w:ascii="Wingdings" w:hAnsi="Wingdings"/>
      </w:rPr>
    </w:lvl>
    <w:lvl w:ilvl="3" w:tplc="52C67304">
      <w:start w:val="1"/>
      <w:numFmt w:val="bullet"/>
      <w:suff w:val="tab"/>
      <w:lvlText w:val=""/>
      <w:lvlJc w:val="left"/>
      <w:pPr>
        <w:ind w:hanging="360" w:left="3087"/>
      </w:pPr>
      <w:rPr>
        <w:rFonts w:ascii="Symbol" w:hAnsi="Symbol"/>
      </w:rPr>
    </w:lvl>
    <w:lvl w:ilvl="4" w:tplc="207BF005">
      <w:start w:val="1"/>
      <w:numFmt w:val="bullet"/>
      <w:suff w:val="tab"/>
      <w:lvlText w:val="o"/>
      <w:lvlJc w:val="left"/>
      <w:pPr>
        <w:ind w:hanging="360" w:left="3807"/>
      </w:pPr>
      <w:rPr>
        <w:rFonts w:ascii="Courier New" w:hAnsi="Courier New"/>
      </w:rPr>
    </w:lvl>
    <w:lvl w:ilvl="5" w:tplc="687D62C7">
      <w:start w:val="1"/>
      <w:numFmt w:val="bullet"/>
      <w:suff w:val="tab"/>
      <w:lvlText w:val=""/>
      <w:lvlJc w:val="left"/>
      <w:pPr>
        <w:ind w:hanging="360" w:left="4527"/>
      </w:pPr>
      <w:rPr>
        <w:rFonts w:ascii="Wingdings" w:hAnsi="Wingdings"/>
      </w:rPr>
    </w:lvl>
    <w:lvl w:ilvl="6" w:tplc="08A7184E">
      <w:start w:val="1"/>
      <w:numFmt w:val="bullet"/>
      <w:suff w:val="tab"/>
      <w:lvlText w:val=""/>
      <w:lvlJc w:val="left"/>
      <w:pPr>
        <w:ind w:hanging="360" w:left="5247"/>
      </w:pPr>
      <w:rPr>
        <w:rFonts w:ascii="Symbol" w:hAnsi="Symbol"/>
      </w:rPr>
    </w:lvl>
    <w:lvl w:ilvl="7" w:tplc="1E42D972">
      <w:start w:val="1"/>
      <w:numFmt w:val="bullet"/>
      <w:suff w:val="tab"/>
      <w:lvlText w:val="o"/>
      <w:lvlJc w:val="left"/>
      <w:pPr>
        <w:ind w:hanging="360" w:left="5967"/>
      </w:pPr>
      <w:rPr>
        <w:rFonts w:ascii="Courier New" w:hAnsi="Courier New"/>
      </w:rPr>
    </w:lvl>
    <w:lvl w:ilvl="8" w:tplc="78F7CD78">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2D4449AA">
      <w:start w:val="1"/>
      <w:numFmt w:val="bullet"/>
      <w:suff w:val="tab"/>
      <w:lvlText w:val=""/>
      <w:lvlJc w:val="left"/>
      <w:pPr>
        <w:ind w:hanging="360" w:left="720"/>
        <w:tabs>
          <w:tab w:val="left" w:pos="720" w:leader="none"/>
        </w:tabs>
      </w:pPr>
      <w:rPr>
        <w:rFonts w:ascii="Symbol" w:hAnsi="Symbol"/>
      </w:rPr>
    </w:lvl>
    <w:lvl w:ilvl="1" w:tplc="7C39BE60">
      <w:start w:val="1"/>
      <w:numFmt w:val="bullet"/>
      <w:suff w:val="tab"/>
      <w:lvlText w:val="o"/>
      <w:lvlJc w:val="left"/>
      <w:pPr>
        <w:ind w:hanging="360" w:left="1440"/>
        <w:tabs>
          <w:tab w:val="left" w:pos="1440" w:leader="none"/>
        </w:tabs>
      </w:pPr>
      <w:rPr>
        <w:rFonts w:ascii="Courier New" w:hAnsi="Courier New"/>
      </w:rPr>
    </w:lvl>
    <w:lvl w:ilvl="2" w:tplc="13CC3E30">
      <w:start w:val="1"/>
      <w:numFmt w:val="bullet"/>
      <w:suff w:val="tab"/>
      <w:lvlText w:val=""/>
      <w:lvlJc w:val="left"/>
      <w:pPr>
        <w:ind w:hanging="360" w:left="2160"/>
        <w:tabs>
          <w:tab w:val="left" w:pos="2160" w:leader="none"/>
        </w:tabs>
      </w:pPr>
      <w:rPr>
        <w:rFonts w:ascii="Wingdings" w:hAnsi="Wingdings"/>
      </w:rPr>
    </w:lvl>
    <w:lvl w:ilvl="3" w:tplc="2AA80127">
      <w:start w:val="1"/>
      <w:numFmt w:val="bullet"/>
      <w:suff w:val="tab"/>
      <w:lvlText w:val=""/>
      <w:lvlJc w:val="left"/>
      <w:pPr>
        <w:ind w:hanging="360" w:left="2880"/>
        <w:tabs>
          <w:tab w:val="left" w:pos="2880" w:leader="none"/>
        </w:tabs>
      </w:pPr>
      <w:rPr>
        <w:rFonts w:ascii="Symbol" w:hAnsi="Symbol"/>
      </w:rPr>
    </w:lvl>
    <w:lvl w:ilvl="4" w:tplc="6137F9D7">
      <w:start w:val="1"/>
      <w:numFmt w:val="bullet"/>
      <w:suff w:val="tab"/>
      <w:lvlText w:val="o"/>
      <w:lvlJc w:val="left"/>
      <w:pPr>
        <w:ind w:hanging="360" w:left="3600"/>
        <w:tabs>
          <w:tab w:val="left" w:pos="3600" w:leader="none"/>
        </w:tabs>
      </w:pPr>
      <w:rPr>
        <w:rFonts w:ascii="Courier New" w:hAnsi="Courier New"/>
      </w:rPr>
    </w:lvl>
    <w:lvl w:ilvl="5" w:tplc="5AD8A43A">
      <w:start w:val="1"/>
      <w:numFmt w:val="bullet"/>
      <w:suff w:val="tab"/>
      <w:lvlText w:val=""/>
      <w:lvlJc w:val="left"/>
      <w:pPr>
        <w:ind w:hanging="360" w:left="4320"/>
        <w:tabs>
          <w:tab w:val="left" w:pos="4320" w:leader="none"/>
        </w:tabs>
      </w:pPr>
      <w:rPr>
        <w:rFonts w:ascii="Wingdings" w:hAnsi="Wingdings"/>
      </w:rPr>
    </w:lvl>
    <w:lvl w:ilvl="6" w:tplc="2303F15E">
      <w:start w:val="1"/>
      <w:numFmt w:val="bullet"/>
      <w:suff w:val="tab"/>
      <w:lvlText w:val=""/>
      <w:lvlJc w:val="left"/>
      <w:pPr>
        <w:ind w:hanging="360" w:left="5040"/>
        <w:tabs>
          <w:tab w:val="left" w:pos="5040" w:leader="none"/>
        </w:tabs>
      </w:pPr>
      <w:rPr>
        <w:rFonts w:ascii="Symbol" w:hAnsi="Symbol"/>
      </w:rPr>
    </w:lvl>
    <w:lvl w:ilvl="7" w:tplc="7CAFFC68">
      <w:start w:val="1"/>
      <w:numFmt w:val="bullet"/>
      <w:suff w:val="tab"/>
      <w:lvlText w:val="o"/>
      <w:lvlJc w:val="left"/>
      <w:pPr>
        <w:ind w:hanging="360" w:left="5760"/>
        <w:tabs>
          <w:tab w:val="left" w:pos="5760" w:leader="none"/>
        </w:tabs>
      </w:pPr>
      <w:rPr>
        <w:rFonts w:ascii="Courier New" w:hAnsi="Courier New"/>
      </w:rPr>
    </w:lvl>
    <w:lvl w:ilvl="8" w:tplc="1E662E85">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07CD154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nota pie"/>
    <w:basedOn w:val="P0"/>
    <w:next w:val="P30"/>
    <w:link w:val="C12"/>
    <w:pPr/>
    <w:rPr>
      <w:sz w:val="20"/>
    </w:rPr>
  </w:style>
  <w:style w:type="paragraph" w:styleId="P31">
    <w:name w:val="Texto independiente primera sangría"/>
    <w:basedOn w:val="P11"/>
    <w:next w:val="P31"/>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1"/>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Texto nota pie Car"/>
    <w:link w:val="P30"/>
    <w:rPr>
      <w:sz w:val="20"/>
    </w:rPr>
  </w:style>
  <w:style w:type="character" w:styleId="C13">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2010-09-02T10:49:00Z</dcterms:created>
  <cp:lastModifiedBy>Ethan Puglia</cp:lastModifiedBy>
  <cp:lastPrinted>2010-09-02T10:40:00Z</cp:lastPrinted>
  <dcterms:modified xsi:type="dcterms:W3CDTF">2019-03-28T17:34:23Z</dcterms:modified>
  <cp:revision>7</cp:revision>
  <dc:title>PROYECTO DE ORDENANZA VIOLENCIA FAMILIAR</dc:title>
</cp:coreProperties>
</file>