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141530" Type="http://schemas.openxmlformats.org/officeDocument/2006/relationships/officeDocument" Target="/word/document.xml" /><Relationship Id="coreR6114153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8715</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Los Expedientes Nº600/03, glosados Nº 1490/03, Nº 1745/03;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tabs>
          <w:tab w:val="left" w:pos="426" w:leader="none"/>
        </w:tabs>
        <w:ind w:firstLine="0" w:left="426"/>
      </w:pPr>
      <w:r>
        <w:t>Que a través de dichos instrumentos administrativos, la Sra. Stella Mary Linares DNI 16.430.713,con domicilio en calle Oslo Nº19 solicita eximición por Introducción y Tasa por Servicios de Administración y Mantenimiento de los Cementerios por la identificación 005213 del cementerio local y de tasa por Servicios a la propiedad (fs. 37 y fs. 62) correspondiente a la designación catastral Nº04-01-052-003, Cta. Nº 00012078;</w:t>
      </w:r>
    </w:p>
    <w:p>
      <w:pPr>
        <w:pStyle w:val="P13"/>
        <w:tabs>
          <w:tab w:val="left" w:pos="426" w:leader="none"/>
        </w:tabs>
        <w:ind w:firstLine="0" w:left="426"/>
      </w:pPr>
    </w:p>
    <w:p>
      <w:pPr>
        <w:pStyle w:val="P13"/>
        <w:tabs>
          <w:tab w:val="left" w:pos="426" w:leader="none"/>
        </w:tabs>
        <w:ind w:firstLine="0" w:left="426"/>
      </w:pPr>
      <w:r>
        <w:t>Que a Fs.92, además de lo anterior, solicita la exhumación y reducción de los restos ubicados en la cta. de mención;</w:t>
      </w:r>
    </w:p>
    <w:p>
      <w:pPr>
        <w:pStyle w:val="P13"/>
        <w:tabs>
          <w:tab w:val="left" w:pos="426" w:leader="none"/>
        </w:tabs>
        <w:ind w:firstLine="0" w:left="426"/>
      </w:pPr>
    </w:p>
    <w:p>
      <w:pPr>
        <w:pStyle w:val="P13"/>
        <w:tabs>
          <w:tab w:val="left" w:pos="426" w:leader="none"/>
        </w:tabs>
        <w:ind w:firstLine="0" w:left="426"/>
      </w:pPr>
      <w:r>
        <w:t>Que al momento de inicio de los expedientes del visto, ninguna de las cuentas se encontraban en gestión judicial;</w:t>
      </w:r>
    </w:p>
    <w:p>
      <w:pPr>
        <w:pStyle w:val="P13"/>
        <w:tabs>
          <w:tab w:val="left" w:pos="426" w:leader="none"/>
        </w:tabs>
        <w:ind w:firstLine="0" w:left="426"/>
      </w:pPr>
    </w:p>
    <w:p>
      <w:pPr>
        <w:pStyle w:val="P13"/>
        <w:tabs>
          <w:tab w:val="left" w:pos="426" w:leader="none"/>
        </w:tabs>
        <w:ind w:firstLine="0" w:left="426"/>
      </w:pPr>
      <w:r>
        <w:t xml:space="preserve">Que a Fs.96, Administración de los Cementerios informa que los restos pueden ser exhumados, reducidos y pasados al osario, para contar con sepulturas para nuevas inhumaciones; </w:t>
      </w:r>
    </w:p>
    <w:p>
      <w:pPr>
        <w:pStyle w:val="P13"/>
        <w:tabs>
          <w:tab w:val="left" w:pos="426" w:leader="none"/>
        </w:tabs>
        <w:ind w:firstLine="0" w:left="426"/>
      </w:pPr>
    </w:p>
    <w:p>
      <w:pPr>
        <w:pStyle w:val="P13"/>
        <w:tabs>
          <w:tab w:val="left" w:pos="426" w:leader="none"/>
        </w:tabs>
        <w:ind w:firstLine="0" w:left="426"/>
      </w:pPr>
      <w:r>
        <w:t>Que del Estado de deuda obrante a Fs.98, se desprende que gran parte de la misma, se encuentra en gestión Judicial, por lo que se imposibilitaría acceder a lo solicitado por la Sra. Linares;</w:t>
      </w:r>
    </w:p>
    <w:p>
      <w:pPr>
        <w:tabs>
          <w:tab w:val="left" w:pos="426" w:leader="none"/>
        </w:tabs>
        <w:ind w:left="426"/>
        <w:jc w:val="right"/>
        <w:rPr>
          <w:rStyle w:val="C3"/>
          <w:rFonts w:ascii="Courier New" w:hAnsi="Courier New"/>
        </w:rPr>
      </w:pPr>
      <w:r>
        <w:rPr>
          <w:rStyle w:val="C3"/>
          <w:rFonts w:ascii="Courier New" w:hAnsi="Courier New"/>
        </w:rPr>
        <w:t>...///</w:t>
      </w:r>
    </w:p>
    <w:p>
      <w:pPr>
        <w:tabs>
          <w:tab w:val="left" w:pos="426" w:leader="none"/>
        </w:tabs>
        <w:ind w:left="426"/>
        <w:jc w:val="right"/>
        <w:rPr>
          <w:rStyle w:val="C3"/>
          <w:rFonts w:ascii="Courier New" w:hAnsi="Courier New"/>
        </w:rPr>
      </w:pPr>
    </w:p>
    <w:p>
      <w:pPr>
        <w:tabs>
          <w:tab w:val="left" w:pos="426" w:leader="none"/>
        </w:tabs>
        <w:ind w:left="426"/>
        <w:jc w:val="right"/>
        <w:rPr>
          <w:rStyle w:val="C3"/>
          <w:rFonts w:ascii="Courier New" w:hAnsi="Courier New"/>
        </w:rPr>
      </w:pPr>
    </w:p>
    <w:p>
      <w:pPr>
        <w:tabs>
          <w:tab w:val="left" w:pos="426" w:leader="none"/>
        </w:tabs>
        <w:ind w:left="426"/>
        <w:jc w:val="right"/>
        <w:rPr>
          <w:rStyle w:val="C3"/>
          <w:rFonts w:ascii="Courier New" w:hAnsi="Courier New"/>
        </w:rPr>
      </w:pPr>
    </w:p>
    <w:p>
      <w:pPr>
        <w:tabs>
          <w:tab w:val="left" w:pos="426" w:leader="none"/>
        </w:tabs>
        <w:ind w:left="426"/>
        <w:jc w:val="right"/>
        <w:rPr>
          <w:rStyle w:val="C3"/>
          <w:rFonts w:ascii="Courier New" w:hAnsi="Courier New"/>
        </w:rPr>
      </w:pPr>
    </w:p>
    <w:p>
      <w:pPr>
        <w:tabs>
          <w:tab w:val="left" w:pos="426" w:leader="none"/>
        </w:tabs>
        <w:ind w:left="426"/>
        <w:jc w:val="right"/>
        <w:rPr>
          <w:rStyle w:val="C3"/>
          <w:rFonts w:ascii="Courier New" w:hAnsi="Courier New"/>
        </w:rPr>
      </w:pP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tabs>
          <w:tab w:val="left" w:pos="426" w:leader="none"/>
        </w:tabs>
        <w:jc w:val="both"/>
        <w:rPr>
          <w:rStyle w:val="C3"/>
          <w:rFonts w:ascii="Courier New" w:hAnsi="Courier New"/>
        </w:rPr>
      </w:pPr>
    </w:p>
    <w:p>
      <w:pPr>
        <w:tabs>
          <w:tab w:val="left" w:pos="426" w:leader="none"/>
        </w:tabs>
        <w:jc w:val="both"/>
        <w:rPr>
          <w:rStyle w:val="C3"/>
          <w:rFonts w:ascii="Courier New" w:hAnsi="Courier New"/>
        </w:rPr>
      </w:pPr>
      <w:r>
        <w:rPr>
          <w:rStyle w:val="C3"/>
          <w:rFonts w:ascii="Courier New" w:hAnsi="Courier New"/>
        </w:rPr>
        <w:t>...///2.-</w:t>
      </w: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r>
        <w:rPr>
          <w:rStyle w:val="C3"/>
          <w:rFonts w:ascii="Courier New" w:hAnsi="Courier New"/>
        </w:rPr>
        <w:t>Que el Relevamiento Socioeconómico y Ambiental (Fs.34) informa que la solicitante se desempeña como empleada doméstica y es beneficiaria del Seguro de Capacitación y Empleo realizando un curso específico como contraprestación, tiene una hija en edad escolar, recibe módulo alimentario, tanto ella como su marido padecen problemas serios de salud, el ingreso económico de su pareja es inestable;</w:t>
      </w: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r>
        <w:rPr>
          <w:rStyle w:val="C3"/>
          <w:rFonts w:ascii="Courier New" w:hAnsi="Courier New"/>
        </w:rPr>
        <w:t>Que a Fs.5, 19, 34, 50 y 65 obran sucesivos Relevamientos Socioeconómicos y Ambientales, permitiendo inferir que la peticionante en el transcurso del tiempo permaneció en condición de carenciada bajo la línea de pobreza recibiendo en forma constante, transferencias formales por parte del estado;</w:t>
      </w:r>
    </w:p>
    <w:p>
      <w:pPr>
        <w:tabs>
          <w:tab w:val="left" w:pos="426" w:leader="none"/>
        </w:tabs>
        <w:ind w:left="426"/>
        <w:jc w:val="both"/>
        <w:rPr>
          <w:rStyle w:val="C3"/>
          <w:rFonts w:ascii="Courier New" w:hAnsi="Courier New"/>
        </w:rPr>
      </w:pPr>
    </w:p>
    <w:p>
      <w:pPr>
        <w:tabs>
          <w:tab w:val="left" w:pos="426" w:leader="none"/>
        </w:tabs>
        <w:ind w:left="426"/>
        <w:jc w:val="both"/>
        <w:rPr>
          <w:rStyle w:val="C3"/>
          <w:rFonts w:ascii="Courier New" w:hAnsi="Courier New"/>
        </w:rPr>
      </w:pPr>
      <w:r>
        <w:rPr>
          <w:rStyle w:val="C3"/>
          <w:rFonts w:ascii="Courier New" w:hAnsi="Courier New"/>
        </w:rPr>
        <w:t>Que se le concedieron a través de la Ordenanza Nº 7917, beneficios especiales con condiciones, que la peticionante por su situación no pudo cumplimentar;</w:t>
      </w:r>
    </w:p>
    <w:p>
      <w:pPr>
        <w:tabs>
          <w:tab w:val="left" w:pos="426" w:leader="none"/>
        </w:tabs>
        <w:ind w:left="426"/>
        <w:jc w:val="both"/>
        <w:rPr>
          <w:rStyle w:val="C3"/>
          <w:rFonts w:ascii="Courier New" w:hAnsi="Courier New"/>
        </w:rPr>
      </w:pPr>
    </w:p>
    <w:p>
      <w:pPr>
        <w:pStyle w:val="P12"/>
        <w:tabs>
          <w:tab w:val="left" w:pos="426" w:leader="none"/>
        </w:tabs>
        <w:ind w:left="426"/>
      </w:pPr>
      <w:r>
        <w:t xml:space="preserve">Que a Fs.78, obra copia de inscripción en el Registro Personal  de Poseedores con fecha  de recepción el día 20 de Diciembre de 2007; </w:t>
      </w:r>
    </w:p>
    <w:p>
      <w:pPr>
        <w:pStyle w:val="P12"/>
        <w:tabs>
          <w:tab w:val="left" w:pos="426" w:leader="none"/>
        </w:tabs>
        <w:ind w:left="426"/>
      </w:pPr>
    </w:p>
    <w:p>
      <w:pPr>
        <w:pStyle w:val="P12"/>
        <w:tabs>
          <w:tab w:val="left" w:pos="426" w:leader="none"/>
        </w:tabs>
        <w:ind w:left="426"/>
      </w:pPr>
      <w:r>
        <w:t xml:space="preserve">Que en su Art.16º, la Ley 9150(Modificatoria Ley 9576 art.11) manifiesta que </w:t>
      </w:r>
      <w:r>
        <w:rPr>
          <w:rStyle w:val="C3"/>
          <w:i w:val="1"/>
          <w:u w:val="single"/>
        </w:rPr>
        <w:t>“</w:t>
      </w:r>
      <w:r>
        <w:rPr>
          <w:rStyle w:val="C3"/>
          <w:i w:val="1"/>
          <w:u w:val="single"/>
        </w:rPr>
        <w:t>L</w:t>
      </w:r>
      <w:r>
        <w:rPr>
          <w:rStyle w:val="C3"/>
          <w:i w:val="1"/>
          <w:u w:val="single"/>
        </w:rPr>
        <w:t>as</w:t>
      </w:r>
      <w:r>
        <w:rPr>
          <w:rStyle w:val="C3"/>
          <w:i w:val="1"/>
          <w:u w:val="single"/>
        </w:rPr>
        <w:t xml:space="preserve"> obligaciones tributarias correspondientes a la parcela posesoria anotada en el Registro Personal de Poseedores comenzarán a devengarse -</w:t>
      </w:r>
      <w:r>
        <w:rPr>
          <w:rStyle w:val="C3"/>
          <w:i w:val="1"/>
          <w:u w:val="single"/>
        </w:rPr>
        <w:t xml:space="preserve"> </w:t>
      </w:r>
      <w:r>
        <w:rPr>
          <w:rStyle w:val="C3"/>
          <w:i w:val="1"/>
          <w:u w:val="single"/>
        </w:rPr>
        <w:t>para el poseedor inscripto</w:t>
      </w:r>
      <w:r>
        <w:rPr>
          <w:rStyle w:val="C3"/>
          <w:i w:val="1"/>
          <w:u w:val="single"/>
        </w:rPr>
        <w:t xml:space="preserve"> </w:t>
      </w:r>
      <w:r>
        <w:rPr>
          <w:rStyle w:val="C3"/>
          <w:i w:val="1"/>
          <w:u w:val="single"/>
        </w:rPr>
        <w:t xml:space="preserve">- a partir del </w:t>
      </w:r>
      <w:r>
        <w:rPr>
          <w:rStyle w:val="C3"/>
          <w:i w:val="1"/>
          <w:u w:val="single"/>
        </w:rPr>
        <w:t>0</w:t>
      </w:r>
      <w:r>
        <w:rPr>
          <w:rStyle w:val="C3"/>
          <w:i w:val="1"/>
          <w:u w:val="single"/>
        </w:rPr>
        <w:t xml:space="preserve">1 de </w:t>
      </w:r>
      <w:r>
        <w:rPr>
          <w:rStyle w:val="C3"/>
          <w:i w:val="1"/>
          <w:u w:val="single"/>
        </w:rPr>
        <w:t>E</w:t>
      </w:r>
      <w:r>
        <w:rPr>
          <w:rStyle w:val="C3"/>
          <w:i w:val="1"/>
          <w:u w:val="single"/>
        </w:rPr>
        <w:t>nero del año siguiente al de su inscripción en el Registro”</w:t>
      </w:r>
      <w:r>
        <w:t>;</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15 de Septiembre de 2010.-</w:t>
      </w:r>
    </w:p>
    <w:p>
      <w:pPr>
        <w:pStyle w:val="P11"/>
        <w:jc w:val="right"/>
      </w:pPr>
      <w:r>
        <w:t>...///</w:t>
      </w: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1"/>
        <w:jc w:val="right"/>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360" w:left="360"/>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rPr>
        <w:t>...///3.-</w:t>
      </w:r>
    </w:p>
    <w:p>
      <w:pPr>
        <w:pStyle w:val="P11"/>
        <w:jc w:val="right"/>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CONDONAR</w:t>
      </w:r>
      <w:r>
        <w:rPr>
          <w:rStyle w:val="C3"/>
          <w:rFonts w:ascii="Courier New" w:hAnsi="Courier New"/>
        </w:rPr>
        <w:t xml:space="preserve"> el  CIEN POR CIENTO (100%) de la deuda que en concepto de Tasa por Administración y Mantenimiento de los Cementerios, mantiene con la municipalidad de Alta Gracia, la Identificación 005213.-</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la exhumación y reducción de los restos ubicados en la Identificación 005213 del Cementerio local.-</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CONDONAR</w:t>
      </w:r>
      <w:r>
        <w:rPr>
          <w:rStyle w:val="C3"/>
          <w:rFonts w:ascii="Courier New" w:hAnsi="Courier New"/>
        </w:rPr>
        <w:t xml:space="preserve"> el CIEN POR CIENTO (100%) de la deuda de  Tasa por Servicios a la Propiedad que al momento de promulgación de la presente, mantiene con la Municipalidad de Alta Gracia, el inmueble Designación Catastral 04-01-052-003, cta. 00012078.-</w:t>
      </w:r>
    </w:p>
    <w:p>
      <w:pPr>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Municipal que interceda ante el o los procuradores actuantes a los fines de dejar sin efecto el o los juicios iniciados, así como también los honorarios generados.-</w:t>
      </w:r>
    </w:p>
    <w:p>
      <w:pPr>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pPr>
      <w:r>
        <w:t xml:space="preserve">DADA EN LA SALA DE SESIONES DEL HONORABLE CONCEJO DELIBERANTE A LOS QUINCE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BB5EAFC">
      <w:start w:val="0"/>
      <w:numFmt w:val="bullet"/>
      <w:suff w:val="tab"/>
      <w:lvlText w:val=""/>
      <w:lvlJc w:val="left"/>
      <w:pPr>
        <w:ind w:hanging="360" w:left="927"/>
      </w:pPr>
      <w:rPr>
        <w:rFonts w:ascii="Symbol" w:hAnsi="Symbol"/>
      </w:rPr>
    </w:lvl>
    <w:lvl w:ilvl="1" w:tplc="520BD06F">
      <w:start w:val="1"/>
      <w:numFmt w:val="bullet"/>
      <w:suff w:val="tab"/>
      <w:lvlText w:val="o"/>
      <w:lvlJc w:val="left"/>
      <w:pPr>
        <w:ind w:hanging="360" w:left="1647"/>
      </w:pPr>
      <w:rPr>
        <w:rFonts w:ascii="Courier New" w:hAnsi="Courier New"/>
      </w:rPr>
    </w:lvl>
    <w:lvl w:ilvl="2" w:tplc="301A1331">
      <w:start w:val="1"/>
      <w:numFmt w:val="bullet"/>
      <w:suff w:val="tab"/>
      <w:lvlText w:val=""/>
      <w:lvlJc w:val="left"/>
      <w:pPr>
        <w:ind w:hanging="360" w:left="2367"/>
      </w:pPr>
      <w:rPr>
        <w:rFonts w:ascii="Wingdings" w:hAnsi="Wingdings"/>
      </w:rPr>
    </w:lvl>
    <w:lvl w:ilvl="3" w:tplc="730E8BFC">
      <w:start w:val="1"/>
      <w:numFmt w:val="bullet"/>
      <w:suff w:val="tab"/>
      <w:lvlText w:val=""/>
      <w:lvlJc w:val="left"/>
      <w:pPr>
        <w:ind w:hanging="360" w:left="3087"/>
      </w:pPr>
      <w:rPr>
        <w:rFonts w:ascii="Symbol" w:hAnsi="Symbol"/>
      </w:rPr>
    </w:lvl>
    <w:lvl w:ilvl="4" w:tplc="522F7502">
      <w:start w:val="1"/>
      <w:numFmt w:val="bullet"/>
      <w:suff w:val="tab"/>
      <w:lvlText w:val="o"/>
      <w:lvlJc w:val="left"/>
      <w:pPr>
        <w:ind w:hanging="360" w:left="3807"/>
      </w:pPr>
      <w:rPr>
        <w:rFonts w:ascii="Courier New" w:hAnsi="Courier New"/>
      </w:rPr>
    </w:lvl>
    <w:lvl w:ilvl="5" w:tplc="69B02362">
      <w:start w:val="1"/>
      <w:numFmt w:val="bullet"/>
      <w:suff w:val="tab"/>
      <w:lvlText w:val=""/>
      <w:lvlJc w:val="left"/>
      <w:pPr>
        <w:ind w:hanging="360" w:left="4527"/>
      </w:pPr>
      <w:rPr>
        <w:rFonts w:ascii="Wingdings" w:hAnsi="Wingdings"/>
      </w:rPr>
    </w:lvl>
    <w:lvl w:ilvl="6" w:tplc="061CF160">
      <w:start w:val="1"/>
      <w:numFmt w:val="bullet"/>
      <w:suff w:val="tab"/>
      <w:lvlText w:val=""/>
      <w:lvlJc w:val="left"/>
      <w:pPr>
        <w:ind w:hanging="360" w:left="5247"/>
      </w:pPr>
      <w:rPr>
        <w:rFonts w:ascii="Symbol" w:hAnsi="Symbol"/>
      </w:rPr>
    </w:lvl>
    <w:lvl w:ilvl="7" w:tplc="01420A50">
      <w:start w:val="1"/>
      <w:numFmt w:val="bullet"/>
      <w:suff w:val="tab"/>
      <w:lvlText w:val="o"/>
      <w:lvlJc w:val="left"/>
      <w:pPr>
        <w:ind w:hanging="360" w:left="5967"/>
      </w:pPr>
      <w:rPr>
        <w:rFonts w:ascii="Courier New" w:hAnsi="Courier New"/>
      </w:rPr>
    </w:lvl>
    <w:lvl w:ilvl="8" w:tplc="16284CB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7A1F86E1">
      <w:start w:val="1"/>
      <w:numFmt w:val="bullet"/>
      <w:suff w:val="tab"/>
      <w:lvlText w:val=""/>
      <w:lvlJc w:val="left"/>
      <w:pPr>
        <w:ind w:hanging="360" w:left="720"/>
        <w:tabs>
          <w:tab w:val="left" w:pos="720" w:leader="none"/>
        </w:tabs>
      </w:pPr>
      <w:rPr>
        <w:rFonts w:ascii="Symbol" w:hAnsi="Symbol"/>
      </w:rPr>
    </w:lvl>
    <w:lvl w:ilvl="1" w:tplc="03C70066">
      <w:start w:val="1"/>
      <w:numFmt w:val="bullet"/>
      <w:suff w:val="tab"/>
      <w:lvlText w:val="o"/>
      <w:lvlJc w:val="left"/>
      <w:pPr>
        <w:ind w:hanging="360" w:left="1440"/>
        <w:tabs>
          <w:tab w:val="left" w:pos="1440" w:leader="none"/>
        </w:tabs>
      </w:pPr>
      <w:rPr>
        <w:rFonts w:ascii="Courier New" w:hAnsi="Courier New"/>
      </w:rPr>
    </w:lvl>
    <w:lvl w:ilvl="2" w:tplc="1E195DC2">
      <w:start w:val="1"/>
      <w:numFmt w:val="bullet"/>
      <w:suff w:val="tab"/>
      <w:lvlText w:val=""/>
      <w:lvlJc w:val="left"/>
      <w:pPr>
        <w:ind w:hanging="360" w:left="2160"/>
        <w:tabs>
          <w:tab w:val="left" w:pos="2160" w:leader="none"/>
        </w:tabs>
      </w:pPr>
      <w:rPr>
        <w:rFonts w:ascii="Wingdings" w:hAnsi="Wingdings"/>
      </w:rPr>
    </w:lvl>
    <w:lvl w:ilvl="3" w:tplc="5BA13400">
      <w:start w:val="1"/>
      <w:numFmt w:val="bullet"/>
      <w:suff w:val="tab"/>
      <w:lvlText w:val=""/>
      <w:lvlJc w:val="left"/>
      <w:pPr>
        <w:ind w:hanging="360" w:left="2880"/>
        <w:tabs>
          <w:tab w:val="left" w:pos="2880" w:leader="none"/>
        </w:tabs>
      </w:pPr>
      <w:rPr>
        <w:rFonts w:ascii="Symbol" w:hAnsi="Symbol"/>
      </w:rPr>
    </w:lvl>
    <w:lvl w:ilvl="4" w:tplc="2088B812">
      <w:start w:val="1"/>
      <w:numFmt w:val="bullet"/>
      <w:suff w:val="tab"/>
      <w:lvlText w:val="o"/>
      <w:lvlJc w:val="left"/>
      <w:pPr>
        <w:ind w:hanging="360" w:left="3600"/>
        <w:tabs>
          <w:tab w:val="left" w:pos="3600" w:leader="none"/>
        </w:tabs>
      </w:pPr>
      <w:rPr>
        <w:rFonts w:ascii="Courier New" w:hAnsi="Courier New"/>
      </w:rPr>
    </w:lvl>
    <w:lvl w:ilvl="5" w:tplc="46586465">
      <w:start w:val="1"/>
      <w:numFmt w:val="bullet"/>
      <w:suff w:val="tab"/>
      <w:lvlText w:val=""/>
      <w:lvlJc w:val="left"/>
      <w:pPr>
        <w:ind w:hanging="360" w:left="4320"/>
        <w:tabs>
          <w:tab w:val="left" w:pos="4320" w:leader="none"/>
        </w:tabs>
      </w:pPr>
      <w:rPr>
        <w:rFonts w:ascii="Wingdings" w:hAnsi="Wingdings"/>
      </w:rPr>
    </w:lvl>
    <w:lvl w:ilvl="6" w:tplc="66A56120">
      <w:start w:val="1"/>
      <w:numFmt w:val="bullet"/>
      <w:suff w:val="tab"/>
      <w:lvlText w:val=""/>
      <w:lvlJc w:val="left"/>
      <w:pPr>
        <w:ind w:hanging="360" w:left="5040"/>
        <w:tabs>
          <w:tab w:val="left" w:pos="5040" w:leader="none"/>
        </w:tabs>
      </w:pPr>
      <w:rPr>
        <w:rFonts w:ascii="Symbol" w:hAnsi="Symbol"/>
      </w:rPr>
    </w:lvl>
    <w:lvl w:ilvl="7" w:tplc="00F8F364">
      <w:start w:val="1"/>
      <w:numFmt w:val="bullet"/>
      <w:suff w:val="tab"/>
      <w:lvlText w:val="o"/>
      <w:lvlJc w:val="left"/>
      <w:pPr>
        <w:ind w:hanging="360" w:left="5760"/>
        <w:tabs>
          <w:tab w:val="left" w:pos="5760" w:leader="none"/>
        </w:tabs>
      </w:pPr>
      <w:rPr>
        <w:rFonts w:ascii="Courier New" w:hAnsi="Courier New"/>
      </w:rPr>
    </w:lvl>
    <w:lvl w:ilvl="8" w:tplc="75DD2C1C">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708B596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2010-09-16T12:32:00Z</dcterms:created>
  <cp:lastModifiedBy>Ethan Puglia</cp:lastModifiedBy>
  <cp:lastPrinted>2010-09-16T12:16:00Z</cp:lastPrinted>
  <dcterms:modified xsi:type="dcterms:W3CDTF">2019-03-28T17:34:23Z</dcterms:modified>
  <cp:revision>7</cp:revision>
  <dc:title>PROYECTO DE ORDENANZA VIOLENCIA FAMILIAR</dc:title>
</cp:coreProperties>
</file>