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2B1D7EA2" Type="http://schemas.openxmlformats.org/officeDocument/2006/relationships/officeDocument" Target="/word/document.xml" /><Relationship Id="coreR2B1D7EA2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6"/>
        <w:ind w:hanging="29" w:left="142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“2010 Año del Bicentenario de la Revolución de Mayo”</w:t>
      </w:r>
    </w:p>
    <w:p>
      <w:pPr>
        <w:pStyle w:val="P4"/>
        <w:rPr>
          <w:rStyle w:val="C3"/>
        </w:rPr>
      </w:pPr>
    </w:p>
    <w:p>
      <w:pPr>
        <w:pStyle w:val="P4"/>
        <w:rPr>
          <w:rStyle w:val="C3"/>
        </w:rPr>
      </w:pPr>
    </w:p>
    <w:p>
      <w:pPr>
        <w:pStyle w:val="P4"/>
      </w:pPr>
      <w:r>
        <w:t>ORDENANZA Nº 8718</w:t>
      </w:r>
    </w:p>
    <w:p/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1350/10; y</w:t>
      </w: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ab/>
        <w:tab/>
      </w:r>
    </w:p>
    <w:p>
      <w:pPr>
        <w:pStyle w:val="P2"/>
      </w:pPr>
      <w:r>
        <w:t>C O N S I D E R A N D O</w:t>
      </w:r>
    </w:p>
    <w:p>
      <w:pPr>
        <w:tabs>
          <w:tab w:val="left" w:pos="2824" w:leader="none"/>
        </w:tabs>
      </w:pPr>
      <w:r>
        <w:tab/>
      </w:r>
    </w:p>
    <w:p>
      <w:pPr>
        <w:pStyle w:val="P13"/>
        <w:tabs>
          <w:tab w:val="left" w:pos="-426" w:leader="none"/>
        </w:tabs>
        <w:ind w:firstLine="0" w:left="426"/>
      </w:pPr>
      <w:r>
        <w:t>Que a través del mismo y mediante nota el Sr. Torres Eduardo Loreto, solicita plan de pagos a valores históricos de la deuda que en concepto de Tasa por Servicios a la Propiedad mantiene con la Municipalidad de Alta Gracia los inmuebles Designación Catastral 04-02-187-3 identificación 00008157 y 04-02-187-4 identificación 00022782;</w:t>
      </w:r>
    </w:p>
    <w:p>
      <w:pPr>
        <w:pStyle w:val="P13"/>
        <w:tabs>
          <w:tab w:val="left" w:pos="-426" w:leader="none"/>
        </w:tabs>
        <w:ind w:firstLine="0" w:left="426"/>
      </w:pPr>
    </w:p>
    <w:p>
      <w:pPr>
        <w:pStyle w:val="P13"/>
        <w:tabs>
          <w:tab w:val="left" w:pos="-426" w:leader="none"/>
        </w:tabs>
        <w:ind w:firstLine="0" w:left="426"/>
      </w:pPr>
      <w:r>
        <w:t>Que gran parte de la deuda se encuentra en gestión judicial;</w:t>
      </w:r>
    </w:p>
    <w:p>
      <w:pPr>
        <w:pStyle w:val="P13"/>
        <w:tabs>
          <w:tab w:val="left" w:pos="-426" w:leader="none"/>
        </w:tabs>
        <w:ind w:firstLine="0" w:left="426"/>
      </w:pPr>
    </w:p>
    <w:p>
      <w:pPr>
        <w:pStyle w:val="P13"/>
        <w:tabs>
          <w:tab w:val="left" w:pos="-426" w:leader="none"/>
        </w:tabs>
        <w:ind w:firstLine="0" w:left="426"/>
      </w:pPr>
      <w:r>
        <w:t>Que el peticionante se haría cargo del pago de los honorarios correspondientes a los procuradores actuantes;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Expediente de referencia, por la Comisión de Hacienda, la misma emite despacho favorable aprobado por Unanimidad en Sesión Ordinaria del día 15 de Septiembre de 2010.-</w:t>
      </w:r>
    </w:p>
    <w:p>
      <w:pPr>
        <w:pStyle w:val="P11"/>
        <w:jc w:val="right"/>
        <w:rPr>
          <w:rStyle w:val="C3"/>
        </w:rPr>
      </w:pPr>
    </w:p>
    <w:p>
      <w:pPr>
        <w:pStyle w:val="P11"/>
        <w:jc w:val="right"/>
        <w:rPr>
          <w:rStyle w:val="C3"/>
        </w:rPr>
      </w:pPr>
    </w:p>
    <w:p>
      <w:pPr>
        <w:pStyle w:val="P11"/>
        <w:jc w:val="right"/>
        <w:rPr>
          <w:rStyle w:val="C3"/>
        </w:rPr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  <w:b w:val="1"/>
        </w:rPr>
      </w:pPr>
      <w:r>
        <w:rPr>
          <w:rStyle w:val="C3"/>
          <w:b w:val="1"/>
        </w:rPr>
        <w:t>ALTA GRACIA SANCIONA CON FUERZA DE ORDENANZA</w:t>
      </w:r>
    </w:p>
    <w:p>
      <w:pPr>
        <w:pStyle w:val="P12"/>
        <w:ind w:left="561"/>
        <w:jc w:val="center"/>
        <w:rPr>
          <w:rStyle w:val="C3"/>
          <w:b w:val="1"/>
        </w:rPr>
      </w:pPr>
    </w:p>
    <w:p>
      <w:pPr>
        <w:pStyle w:val="P12"/>
        <w:ind w:left="561"/>
        <w:jc w:val="right"/>
        <w:rPr>
          <w:rStyle w:val="C3"/>
        </w:rPr>
      </w:pPr>
    </w:p>
    <w:p>
      <w:pPr>
        <w:pStyle w:val="P12"/>
        <w:ind w:left="561"/>
        <w:jc w:val="right"/>
      </w:pPr>
      <w:r>
        <w:t>...///</w:t>
      </w:r>
    </w:p>
    <w:p>
      <w:pPr>
        <w:jc w:val="right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pStyle w:val="P16"/>
        <w:ind w:left="113"/>
        <w:jc w:val="center"/>
        <w:rPr>
          <w:rStyle w:val="C3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“2010 Año del Bicentenario de la Revolución de Mayo”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...///2.-</w:t>
      </w:r>
    </w:p>
    <w:p>
      <w:pPr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 xml:space="preserve">AUTORIZAR </w:t>
      </w:r>
      <w:r>
        <w:rPr>
          <w:rStyle w:val="C3"/>
          <w:rFonts w:ascii="Courier New" w:hAnsi="Courier New"/>
        </w:rPr>
        <w:t xml:space="preserve">al Departamento Ejecutivo a percibir la deuda que en concepto de Tasa por Servicios a la Propiedad correspondiente a las Designación Catastral. 04-02-187-003 identificación 00008157 y 04-02-187-004 identificación 00022782 mantiene con la Municipalidad de la Ciudad de Alta Gracia a la fecha de promulgación de la presente en plan de 24 cuotas, a valores históricos, sin actualización ni intereses, debiendo previamente  su propietario, regularizar los honorarios y gastos emergentes de la procuración de dicha deuda a los profesionales abogados intervinientes.-</w:t>
      </w: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</w:t>
      </w:r>
      <w:r>
        <w:rPr>
          <w:rStyle w:val="C3"/>
          <w:rFonts w:ascii="Courier New" w:hAnsi="Courier New"/>
          <w:b w:val="1"/>
          <w:u w:val="single"/>
        </w:rPr>
        <w:t>.</w:t>
      </w:r>
      <w:r>
        <w:rPr>
          <w:rStyle w:val="C3"/>
          <w:rFonts w:ascii="Courier New" w:hAnsi="Courier New"/>
          <w:b w:val="1"/>
          <w:u w:val="single"/>
        </w:rPr>
        <w:t>2</w:t>
      </w:r>
      <w:r>
        <w:rPr>
          <w:rStyle w:val="C3"/>
          <w:rFonts w:ascii="Courier New" w:hAnsi="Courier New"/>
          <w:b w:val="1"/>
        </w:rPr>
        <w:t>: PROTOCOLÍCESE,</w:t>
      </w:r>
      <w:r>
        <w:rPr>
          <w:rStyle w:val="C3"/>
          <w:rFonts w:ascii="Courier New" w:hAnsi="Courier New"/>
        </w:rPr>
        <w:t xml:space="preserve"> comuníquese, publíquese en el Boletín Oficial de la ciudad de Alta Gracia, incorpórese al Libro de Ordenanzas y archívese.- </w:t>
      </w:r>
    </w:p>
    <w:p>
      <w:pPr>
        <w:pStyle w:val="P20"/>
        <w:jc w:val="both"/>
        <w:rPr>
          <w:rStyle w:val="C3"/>
          <w:sz w:val="24"/>
        </w:rPr>
      </w:pPr>
    </w:p>
    <w:p>
      <w:pPr>
        <w:pStyle w:val="P17"/>
        <w:rPr>
          <w:rStyle w:val="C3"/>
        </w:rPr>
      </w:pPr>
    </w:p>
    <w:p>
      <w:pPr>
        <w:pStyle w:val="P17"/>
      </w:pPr>
      <w:r>
        <w:t xml:space="preserve">DADA EN LA SALA DE SESIONES DEL HONORABLE CONCEJO DELIBERANTE A LOS QUINCE DÍAS DEL MES DE SEPTIEMBRE DEL AÑO DOS MIL DIEZ.- </w:t>
      </w: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  <w:r>
        <w:rPr>
          <w:rStyle w:val="C3"/>
          <w:rFonts w:ascii="Courier New" w:hAnsi="Courier New"/>
          <w:b w:val="1"/>
          <w:u w:val="single"/>
        </w:rPr>
        <w:t xml:space="preserve"> </w:t>
      </w:r>
    </w:p>
    <w:sectPr>
      <w:type w:val="nextPage"/>
      <w:pgSz w:w="11906" w:h="16838" w:code="0"/>
      <w:pgMar w:left="1701" w:right="1701" w:top="1417" w:bottom="1417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3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5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6">
    <w:nsid w:val="145A66F1"/>
    <w:multiLevelType w:val="hybridMultilevel"/>
    <w:lvl w:ilvl="0" w:tplc="6189EFEB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16DBA6D2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7C32D7F7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4DC3B641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797D39CD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0D5E8268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2380C251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704639E1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39E40ADA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7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8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9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0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1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2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13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14">
    <w:nsid w:val="3A700CB9"/>
    <w:multiLevelType w:val="hybridMultilevel"/>
    <w:lvl w:ilvl="0" w:tplc="2939B7B5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2FFC0F29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750D84BA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0B32240D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0AB3828C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283855EE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680A34C1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53FA7C20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432BC60F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5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16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17">
    <w:nsid w:val="4FDA268D"/>
    <w:multiLevelType w:val="multilevel"/>
    <w:lvl w:ilvl="0">
      <w:start w:val="1"/>
      <w:numFmt w:val="lowerRoman"/>
      <w:suff w:val="tab"/>
      <w:lvlText w:val="%1)"/>
      <w:lvlJc w:val="lef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18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19">
    <w:nsid w:val="5A042302"/>
    <w:multiLevelType w:val="hybridMultilevel"/>
    <w:lvl w:ilvl="0" w:tplc="05561C4B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0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1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2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3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4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5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6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7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28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9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0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18"/>
  </w:num>
  <w:num w:numId="2">
    <w:abstractNumId w:val="9"/>
  </w:num>
  <w:num w:numId="3">
    <w:abstractNumId w:val="12"/>
  </w:num>
  <w:num w:numId="4">
    <w:abstractNumId w:val="22"/>
  </w:num>
  <w:num w:numId="5">
    <w:abstractNumId w:val="26"/>
  </w:num>
  <w:num w:numId="6">
    <w:abstractNumId w:val="7"/>
  </w:num>
  <w:num w:numId="7">
    <w:abstractNumId w:val="20"/>
  </w:num>
  <w:num w:numId="8">
    <w:abstractNumId w:val="3"/>
  </w:num>
  <w:num w:numId="9">
    <w:abstractNumId w:val="6"/>
  </w:num>
  <w:num w:numId="10">
    <w:abstractNumId w:val="8"/>
  </w:num>
  <w:num w:numId="11">
    <w:abstractNumId w:val="16"/>
  </w:num>
  <w:num w:numId="12">
    <w:abstractNumId w:val="17"/>
  </w:num>
  <w:num w:numId="13">
    <w:abstractNumId w:val="30"/>
  </w:num>
  <w:num w:numId="14">
    <w:abstractNumId w:val="25"/>
  </w:num>
  <w:num w:numId="15">
    <w:abstractNumId w:val="24"/>
  </w:num>
  <w:num w:numId="16">
    <w:abstractNumId w:val="14"/>
  </w:num>
  <w:num w:numId="17">
    <w:abstractNumId w:val="15"/>
  </w:num>
  <w:num w:numId="18">
    <w:abstractNumId w:val="27"/>
  </w:num>
  <w:num w:numId="19">
    <w:abstractNumId w:val="10"/>
  </w:num>
  <w:num w:numId="20">
    <w:abstractNumId w:val="4"/>
  </w:num>
  <w:num w:numId="21">
    <w:abstractNumId w:val="1"/>
  </w:num>
  <w:num w:numId="22">
    <w:abstractNumId w:val="19"/>
  </w:num>
  <w:num w:numId="23">
    <w:abstractNumId w:val="28"/>
  </w:num>
  <w:num w:numId="24">
    <w:abstractNumId w:val="23"/>
  </w:num>
  <w:num w:numId="25">
    <w:abstractNumId w:val="11"/>
  </w:num>
  <w:num w:numId="26">
    <w:abstractNumId w:val="29"/>
  </w:num>
  <w:num w:numId="27">
    <w:abstractNumId w:val="2"/>
  </w:num>
  <w:num w:numId="28">
    <w:abstractNumId w:val="21"/>
  </w:num>
  <w:num w:numId="29">
    <w:abstractNumId w:val="5"/>
  </w:num>
  <w:num w:numId="30">
    <w:abstractNumId w:val="13"/>
  </w:num>
  <w:num w:numId="31">
    <w:abstractNumId w:val="0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7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0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8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9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11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basedOn w:val="C3"/>
    <w:qFormat/>
    <w:rPr>
      <w:b w:val="1"/>
    </w:rPr>
  </w:style>
  <w:style w:type="character" w:styleId="C5">
    <w:name w:val="Texto independiente Car"/>
    <w:basedOn w:val="C3"/>
    <w:link w:val="P11"/>
    <w:rPr>
      <w:rFonts w:ascii="Courier New" w:hAnsi="Courier New"/>
    </w:rPr>
  </w:style>
  <w:style w:type="character" w:styleId="C6">
    <w:name w:val="Hipervínculo"/>
    <w:basedOn w:val="C3"/>
    <w:rPr>
      <w:color w:val="0000FF"/>
      <w:u w:val="single"/>
    </w:rPr>
  </w:style>
  <w:style w:type="character" w:styleId="C7">
    <w:name w:val="Texto independiente 2 Car"/>
    <w:basedOn w:val="C3"/>
    <w:link w:val="P16"/>
    <w:rPr>
      <w:rFonts w:ascii="Arial" w:hAnsi="Arial"/>
      <w:b w:val="1"/>
      <w:sz w:val="28"/>
    </w:rPr>
  </w:style>
  <w:style w:type="character" w:styleId="C8">
    <w:name w:val="Texto de globo Car"/>
    <w:basedOn w:val="C3"/>
    <w:link w:val="P27"/>
    <w:rPr>
      <w:rFonts w:ascii="Tahoma" w:hAnsi="Tahoma"/>
      <w:sz w:val="16"/>
    </w:rPr>
  </w:style>
  <w:style w:type="character" w:styleId="C9">
    <w:name w:val="Pie de página Car"/>
    <w:basedOn w:val="C3"/>
    <w:link w:val="P29"/>
    <w:rPr>
      <w:sz w:val="20"/>
    </w:rPr>
  </w:style>
  <w:style w:type="character" w:styleId="C10">
    <w:name w:val="Texto sin formato Car"/>
    <w:basedOn w:val="C3"/>
    <w:link w:val="P20"/>
    <w:rPr>
      <w:rFonts w:ascii="Courier New" w:hAnsi="Courier New"/>
      <w:sz w:val="20"/>
    </w:rPr>
  </w:style>
  <w:style w:type="character" w:styleId="C11">
    <w:name w:val="Texto independiente primera sangría Car"/>
    <w:basedOn w:val="C5"/>
    <w:link w:val="P30"/>
    <w:rPr>
      <w:rFonts w:ascii="Times New Roman" w:hAnsi="Times New Roman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2010-09-16T13:58:00Z</dcterms:created>
  <cp:lastModifiedBy>Ethan Puglia</cp:lastModifiedBy>
  <cp:lastPrinted>2010-09-16T13:34:00Z</cp:lastPrinted>
  <dcterms:modified xsi:type="dcterms:W3CDTF">2019-03-28T17:34:23Z</dcterms:modified>
  <cp:revision>9</cp:revision>
  <dc:title>PROYECTO DE ORDENANZA VIOLENCIA FAMILIAR</dc:title>
</cp:coreProperties>
</file>