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EFCB0CB" Type="http://schemas.openxmlformats.org/officeDocument/2006/relationships/officeDocument" Target="/word/document.xml" /><Relationship Id="coreR7EFCB0C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Nº 8719</w:t>
      </w:r>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Visto: El Expediente Nº 218/10; y</w:t>
      </w:r>
    </w:p>
    <w:p>
      <w:pPr>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pPr>
      <w:r>
        <w:tab/>
      </w:r>
    </w:p>
    <w:p>
      <w:pPr>
        <w:pStyle w:val="P13"/>
        <w:ind w:firstLine="0" w:left="426"/>
      </w:pPr>
      <w:r>
        <w:t>Que a través del mismo y mediante nota, la Sra. Norma Esther Vélez, solicita reducción de la cuota que recae sobre la Nomenclatura Catastral 01-01-051-002, en concepto de obras por mejoras (cloacas);</w:t>
      </w:r>
    </w:p>
    <w:p>
      <w:pPr>
        <w:pStyle w:val="P13"/>
        <w:ind w:firstLine="0" w:left="426"/>
      </w:pPr>
    </w:p>
    <w:p>
      <w:pPr>
        <w:pStyle w:val="P13"/>
        <w:ind w:firstLine="0" w:left="426"/>
      </w:pPr>
      <w:r>
        <w:t>Que a Fs.4, obra Acta Nº A 103572 de la Dirección Provincial de Catastro, donde de la inspección que se efectúa al inmueble arroja el resultado que la superficie habitable es sólo de 56m2 del total de la superficie edificada que es de 199m2;</w:t>
      </w:r>
    </w:p>
    <w:p>
      <w:pPr>
        <w:pStyle w:val="P13"/>
        <w:ind w:firstLine="0" w:left="426"/>
      </w:pPr>
    </w:p>
    <w:p>
      <w:pPr>
        <w:pStyle w:val="P13"/>
        <w:ind w:firstLine="0" w:left="426"/>
      </w:pPr>
      <w:r>
        <w:t xml:space="preserve">Que del Relevamiento Socioeconómico y Ambiental se desprende que es un hogar monoparental, presentando la peticionante, vulnerabilidad en su estado de salud;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22 de Septiembre de 2010.-</w:t>
      </w:r>
    </w:p>
    <w:p>
      <w:pPr>
        <w:pStyle w:val="P11"/>
        <w:jc w:val="right"/>
        <w:rPr>
          <w:rStyle w:val="C3"/>
        </w:rPr>
      </w:pPr>
    </w:p>
    <w:p>
      <w:pPr>
        <w:pStyle w:val="P11"/>
        <w:jc w:val="right"/>
        <w:rPr>
          <w:rStyle w:val="C3"/>
        </w:rPr>
      </w:pPr>
    </w:p>
    <w:p>
      <w:pPr>
        <w:pStyle w:val="P11"/>
        <w:jc w:val="right"/>
        <w:rPr>
          <w:rStyle w:val="C3"/>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2"/>
        <w:ind w:left="561"/>
        <w:jc w:val="center"/>
        <w:rPr>
          <w:rStyle w:val="C3"/>
          <w:b w:val="1"/>
        </w:rPr>
      </w:pPr>
    </w:p>
    <w:p>
      <w:pPr>
        <w:pStyle w:val="P12"/>
        <w:ind w:left="561"/>
        <w:jc w:val="right"/>
        <w:rPr>
          <w:rStyle w:val="C3"/>
        </w:rPr>
      </w:pPr>
    </w:p>
    <w:p>
      <w:pPr>
        <w:pStyle w:val="P12"/>
        <w:ind w:left="561"/>
        <w:jc w:val="right"/>
      </w:pPr>
      <w:r>
        <w:t>...///</w:t>
      </w:r>
    </w:p>
    <w:p>
      <w:pPr>
        <w:jc w:val="right"/>
        <w:rPr>
          <w:rStyle w:val="C3"/>
          <w:rFonts w:ascii="Courier New" w:hAnsi="Courier New"/>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jc w:val="both"/>
        <w:rPr>
          <w:rStyle w:val="C3"/>
          <w:rFonts w:ascii="Courier New" w:hAnsi="Courier New"/>
          <w:b w:val="1"/>
          <w:u w:val="single"/>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jc w:val="both"/>
        <w:rPr>
          <w:rStyle w:val="C3"/>
          <w:rFonts w:ascii="Courier New" w:hAnsi="Courier New"/>
          <w:b w:val="1"/>
          <w:u w:val="single"/>
        </w:rPr>
      </w:pPr>
    </w:p>
    <w:p>
      <w:pPr>
        <w:pStyle w:val="P12"/>
        <w:ind w:hanging="426" w:left="426"/>
      </w:pPr>
      <w:r>
        <w:rPr>
          <w:rStyle w:val="C3"/>
          <w:b w:val="1"/>
          <w:u w:val="single"/>
        </w:rPr>
        <w:t>Art.1</w:t>
      </w:r>
      <w:r>
        <w:rPr>
          <w:rStyle w:val="C3"/>
          <w:b w:val="1"/>
        </w:rPr>
        <w:t xml:space="preserve">: </w:t>
      </w:r>
      <w:r>
        <w:rPr>
          <w:rStyle w:val="C3"/>
          <w:b w:val="1"/>
        </w:rPr>
        <w:t>OTORGUESE</w:t>
      </w:r>
      <w:r>
        <w:rPr>
          <w:rStyle w:val="C3"/>
          <w:b w:val="1"/>
        </w:rPr>
        <w:t xml:space="preserve"> </w:t>
      </w:r>
      <w:r>
        <w:t xml:space="preserve">a la Sra. Norma Esther Vélez  LC 3.887.117, una quita del VEINTICINCO POR CIENTO (25%) del total del importe a pagar en concepto de Obras por mejoras (cloacas) correspondiente a la Nomenclatura Catastral 01-01-051-002.-</w:t>
      </w:r>
    </w:p>
    <w:p>
      <w:pPr>
        <w:pStyle w:val="P12"/>
        <w:ind w:hanging="426" w:left="426"/>
      </w:pPr>
    </w:p>
    <w:p>
      <w:pPr>
        <w:pStyle w:val="P12"/>
        <w:ind w:hanging="426" w:left="426"/>
      </w:pPr>
      <w:r>
        <w:rPr>
          <w:rStyle w:val="C3"/>
          <w:b w:val="1"/>
          <w:u w:val="single"/>
        </w:rPr>
        <w:t>Art.2</w:t>
      </w:r>
      <w:r>
        <w:rPr>
          <w:rStyle w:val="C3"/>
          <w:b w:val="1"/>
        </w:rPr>
        <w:t xml:space="preserve">: </w:t>
      </w:r>
      <w:r>
        <w:rPr>
          <w:rStyle w:val="C3"/>
          <w:b w:val="1"/>
        </w:rPr>
        <w:t>AUTORIZA</w:t>
      </w:r>
      <w:r>
        <w:rPr>
          <w:rStyle w:val="C3"/>
          <w:b w:val="1"/>
        </w:rPr>
        <w:t>SE</w:t>
      </w:r>
      <w:r>
        <w:t xml:space="preserve"> al Departamento Ejecutivo, luego de aplicar lo dispuesto en el precepto anterior, a conceder plan de VEINTICUATRO (24) cuotas a valores históricos sin actualización,  recargos e intereses, a partir de la promulgación de la presente.-</w:t>
      </w:r>
    </w:p>
    <w:p>
      <w:pPr>
        <w:ind w:hanging="426" w:left="426"/>
        <w:jc w:val="both"/>
        <w:rPr>
          <w:rStyle w:val="C3"/>
          <w:rFonts w:ascii="Courier New" w:hAnsi="Courier New"/>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3</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VEINTIDOS DÍAS DEL MES DE SEPTIEMBRE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7250EB6E">
      <w:start w:val="0"/>
      <w:numFmt w:val="bullet"/>
      <w:suff w:val="tab"/>
      <w:lvlText w:val=""/>
      <w:lvlJc w:val="left"/>
      <w:pPr>
        <w:ind w:hanging="360" w:left="927"/>
      </w:pPr>
      <w:rPr>
        <w:rFonts w:ascii="Symbol" w:hAnsi="Symbol"/>
      </w:rPr>
    </w:lvl>
    <w:lvl w:ilvl="1" w:tplc="1BB565FA">
      <w:start w:val="1"/>
      <w:numFmt w:val="bullet"/>
      <w:suff w:val="tab"/>
      <w:lvlText w:val="o"/>
      <w:lvlJc w:val="left"/>
      <w:pPr>
        <w:ind w:hanging="360" w:left="1647"/>
      </w:pPr>
      <w:rPr>
        <w:rFonts w:ascii="Courier New" w:hAnsi="Courier New"/>
      </w:rPr>
    </w:lvl>
    <w:lvl w:ilvl="2" w:tplc="4FBAFCA3">
      <w:start w:val="1"/>
      <w:numFmt w:val="bullet"/>
      <w:suff w:val="tab"/>
      <w:lvlText w:val=""/>
      <w:lvlJc w:val="left"/>
      <w:pPr>
        <w:ind w:hanging="360" w:left="2367"/>
      </w:pPr>
      <w:rPr>
        <w:rFonts w:ascii="Wingdings" w:hAnsi="Wingdings"/>
      </w:rPr>
    </w:lvl>
    <w:lvl w:ilvl="3" w:tplc="6E7801EA">
      <w:start w:val="1"/>
      <w:numFmt w:val="bullet"/>
      <w:suff w:val="tab"/>
      <w:lvlText w:val=""/>
      <w:lvlJc w:val="left"/>
      <w:pPr>
        <w:ind w:hanging="360" w:left="3087"/>
      </w:pPr>
      <w:rPr>
        <w:rFonts w:ascii="Symbol" w:hAnsi="Symbol"/>
      </w:rPr>
    </w:lvl>
    <w:lvl w:ilvl="4" w:tplc="7E36414D">
      <w:start w:val="1"/>
      <w:numFmt w:val="bullet"/>
      <w:suff w:val="tab"/>
      <w:lvlText w:val="o"/>
      <w:lvlJc w:val="left"/>
      <w:pPr>
        <w:ind w:hanging="360" w:left="3807"/>
      </w:pPr>
      <w:rPr>
        <w:rFonts w:ascii="Courier New" w:hAnsi="Courier New"/>
      </w:rPr>
    </w:lvl>
    <w:lvl w:ilvl="5" w:tplc="4AC39EE8">
      <w:start w:val="1"/>
      <w:numFmt w:val="bullet"/>
      <w:suff w:val="tab"/>
      <w:lvlText w:val=""/>
      <w:lvlJc w:val="left"/>
      <w:pPr>
        <w:ind w:hanging="360" w:left="4527"/>
      </w:pPr>
      <w:rPr>
        <w:rFonts w:ascii="Wingdings" w:hAnsi="Wingdings"/>
      </w:rPr>
    </w:lvl>
    <w:lvl w:ilvl="6" w:tplc="783F30E8">
      <w:start w:val="1"/>
      <w:numFmt w:val="bullet"/>
      <w:suff w:val="tab"/>
      <w:lvlText w:val=""/>
      <w:lvlJc w:val="left"/>
      <w:pPr>
        <w:ind w:hanging="360" w:left="5247"/>
      </w:pPr>
      <w:rPr>
        <w:rFonts w:ascii="Symbol" w:hAnsi="Symbol"/>
      </w:rPr>
    </w:lvl>
    <w:lvl w:ilvl="7" w:tplc="211FAE90">
      <w:start w:val="1"/>
      <w:numFmt w:val="bullet"/>
      <w:suff w:val="tab"/>
      <w:lvlText w:val="o"/>
      <w:lvlJc w:val="left"/>
      <w:pPr>
        <w:ind w:hanging="360" w:left="5967"/>
      </w:pPr>
      <w:rPr>
        <w:rFonts w:ascii="Courier New" w:hAnsi="Courier New"/>
      </w:rPr>
    </w:lvl>
    <w:lvl w:ilvl="8" w:tplc="0A5EF9F6">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3">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4">
    <w:nsid w:val="3A700CB9"/>
    <w:multiLevelType w:val="hybridMultilevel"/>
    <w:lvl w:ilvl="0" w:tplc="03E5DD1E">
      <w:start w:val="1"/>
      <w:numFmt w:val="bullet"/>
      <w:suff w:val="tab"/>
      <w:lvlText w:val=""/>
      <w:lvlJc w:val="left"/>
      <w:pPr>
        <w:ind w:hanging="360" w:left="720"/>
        <w:tabs>
          <w:tab w:val="left" w:pos="720" w:leader="none"/>
        </w:tabs>
      </w:pPr>
      <w:rPr>
        <w:rFonts w:ascii="Symbol" w:hAnsi="Symbol"/>
      </w:rPr>
    </w:lvl>
    <w:lvl w:ilvl="1" w:tplc="0698527F">
      <w:start w:val="1"/>
      <w:numFmt w:val="bullet"/>
      <w:suff w:val="tab"/>
      <w:lvlText w:val="o"/>
      <w:lvlJc w:val="left"/>
      <w:pPr>
        <w:ind w:hanging="360" w:left="1440"/>
        <w:tabs>
          <w:tab w:val="left" w:pos="1440" w:leader="none"/>
        </w:tabs>
      </w:pPr>
      <w:rPr>
        <w:rFonts w:ascii="Courier New" w:hAnsi="Courier New"/>
      </w:rPr>
    </w:lvl>
    <w:lvl w:ilvl="2" w:tplc="6A035E45">
      <w:start w:val="1"/>
      <w:numFmt w:val="bullet"/>
      <w:suff w:val="tab"/>
      <w:lvlText w:val=""/>
      <w:lvlJc w:val="left"/>
      <w:pPr>
        <w:ind w:hanging="360" w:left="2160"/>
        <w:tabs>
          <w:tab w:val="left" w:pos="2160" w:leader="none"/>
        </w:tabs>
      </w:pPr>
      <w:rPr>
        <w:rFonts w:ascii="Wingdings" w:hAnsi="Wingdings"/>
      </w:rPr>
    </w:lvl>
    <w:lvl w:ilvl="3" w:tplc="3C138A65">
      <w:start w:val="1"/>
      <w:numFmt w:val="bullet"/>
      <w:suff w:val="tab"/>
      <w:lvlText w:val=""/>
      <w:lvlJc w:val="left"/>
      <w:pPr>
        <w:ind w:hanging="360" w:left="2880"/>
        <w:tabs>
          <w:tab w:val="left" w:pos="2880" w:leader="none"/>
        </w:tabs>
      </w:pPr>
      <w:rPr>
        <w:rFonts w:ascii="Symbol" w:hAnsi="Symbol"/>
      </w:rPr>
    </w:lvl>
    <w:lvl w:ilvl="4" w:tplc="1FADC1E7">
      <w:start w:val="1"/>
      <w:numFmt w:val="bullet"/>
      <w:suff w:val="tab"/>
      <w:lvlText w:val="o"/>
      <w:lvlJc w:val="left"/>
      <w:pPr>
        <w:ind w:hanging="360" w:left="3600"/>
        <w:tabs>
          <w:tab w:val="left" w:pos="3600" w:leader="none"/>
        </w:tabs>
      </w:pPr>
      <w:rPr>
        <w:rFonts w:ascii="Courier New" w:hAnsi="Courier New"/>
      </w:rPr>
    </w:lvl>
    <w:lvl w:ilvl="5" w:tplc="060D9B88">
      <w:start w:val="1"/>
      <w:numFmt w:val="bullet"/>
      <w:suff w:val="tab"/>
      <w:lvlText w:val=""/>
      <w:lvlJc w:val="left"/>
      <w:pPr>
        <w:ind w:hanging="360" w:left="4320"/>
        <w:tabs>
          <w:tab w:val="left" w:pos="4320" w:leader="none"/>
        </w:tabs>
      </w:pPr>
      <w:rPr>
        <w:rFonts w:ascii="Wingdings" w:hAnsi="Wingdings"/>
      </w:rPr>
    </w:lvl>
    <w:lvl w:ilvl="6" w:tplc="7A67EFA7">
      <w:start w:val="1"/>
      <w:numFmt w:val="bullet"/>
      <w:suff w:val="tab"/>
      <w:lvlText w:val=""/>
      <w:lvlJc w:val="left"/>
      <w:pPr>
        <w:ind w:hanging="360" w:left="5040"/>
        <w:tabs>
          <w:tab w:val="left" w:pos="5040" w:leader="none"/>
        </w:tabs>
      </w:pPr>
      <w:rPr>
        <w:rFonts w:ascii="Symbol" w:hAnsi="Symbol"/>
      </w:rPr>
    </w:lvl>
    <w:lvl w:ilvl="7" w:tplc="41E4F7A2">
      <w:start w:val="1"/>
      <w:numFmt w:val="bullet"/>
      <w:suff w:val="tab"/>
      <w:lvlText w:val="o"/>
      <w:lvlJc w:val="left"/>
      <w:pPr>
        <w:ind w:hanging="360" w:left="5760"/>
        <w:tabs>
          <w:tab w:val="left" w:pos="5760" w:leader="none"/>
        </w:tabs>
      </w:pPr>
      <w:rPr>
        <w:rFonts w:ascii="Courier New" w:hAnsi="Courier New"/>
      </w:rPr>
    </w:lvl>
    <w:lvl w:ilvl="8" w:tplc="11A02061">
      <w:start w:val="1"/>
      <w:numFmt w:val="bullet"/>
      <w:suff w:val="tab"/>
      <w:lvlText w:val=""/>
      <w:lvlJc w:val="left"/>
      <w:pPr>
        <w:ind w:hanging="360" w:left="6480"/>
        <w:tabs>
          <w:tab w:val="left" w:pos="6480" w:leader="none"/>
        </w:tabs>
      </w:pPr>
      <w:rPr>
        <w:rFonts w:ascii="Wingdings" w:hAnsi="Wingdings"/>
      </w:rPr>
    </w:lvl>
  </w:abstractNum>
  <w:abstractNum w:abstractNumId="1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7">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19">
    <w:nsid w:val="5A042302"/>
    <w:multiLevelType w:val="hybridMultilevel"/>
    <w:lvl w:ilvl="0" w:tplc="4ECD280C">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1">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2">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4">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7">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8">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8"/>
  </w:num>
  <w:num w:numId="2">
    <w:abstractNumId w:val="9"/>
  </w:num>
  <w:num w:numId="3">
    <w:abstractNumId w:val="12"/>
  </w:num>
  <w:num w:numId="4">
    <w:abstractNumId w:val="22"/>
  </w:num>
  <w:num w:numId="5">
    <w:abstractNumId w:val="26"/>
  </w:num>
  <w:num w:numId="6">
    <w:abstractNumId w:val="7"/>
  </w:num>
  <w:num w:numId="7">
    <w:abstractNumId w:val="20"/>
  </w:num>
  <w:num w:numId="8">
    <w:abstractNumId w:val="3"/>
  </w:num>
  <w:num w:numId="9">
    <w:abstractNumId w:val="6"/>
  </w:num>
  <w:num w:numId="10">
    <w:abstractNumId w:val="8"/>
  </w:num>
  <w:num w:numId="11">
    <w:abstractNumId w:val="16"/>
  </w:num>
  <w:num w:numId="12">
    <w:abstractNumId w:val="17"/>
  </w:num>
  <w:num w:numId="13">
    <w:abstractNumId w:val="30"/>
  </w:num>
  <w:num w:numId="14">
    <w:abstractNumId w:val="25"/>
  </w:num>
  <w:num w:numId="15">
    <w:abstractNumId w:val="24"/>
  </w:num>
  <w:num w:numId="16">
    <w:abstractNumId w:val="14"/>
  </w:num>
  <w:num w:numId="17">
    <w:abstractNumId w:val="15"/>
  </w:num>
  <w:num w:numId="18">
    <w:abstractNumId w:val="27"/>
  </w:num>
  <w:num w:numId="19">
    <w:abstractNumId w:val="10"/>
  </w:num>
  <w:num w:numId="20">
    <w:abstractNumId w:val="4"/>
  </w:num>
  <w:num w:numId="21">
    <w:abstractNumId w:val="1"/>
  </w:num>
  <w:num w:numId="22">
    <w:abstractNumId w:val="19"/>
  </w:num>
  <w:num w:numId="23">
    <w:abstractNumId w:val="28"/>
  </w:num>
  <w:num w:numId="24">
    <w:abstractNumId w:val="23"/>
  </w:num>
  <w:num w:numId="25">
    <w:abstractNumId w:val="11"/>
  </w:num>
  <w:num w:numId="26">
    <w:abstractNumId w:val="29"/>
  </w:num>
  <w:num w:numId="27">
    <w:abstractNumId w:val="2"/>
  </w:num>
  <w:num w:numId="28">
    <w:abstractNumId w:val="21"/>
  </w:num>
  <w:num w:numId="29">
    <w:abstractNumId w:val="5"/>
  </w:num>
  <w:num w:numId="30">
    <w:abstractNumId w:val="13"/>
  </w:num>
  <w:num w:numId="31">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9"/>
    <w:pPr>
      <w:tabs>
        <w:tab w:val="center" w:pos="4419" w:leader="none"/>
        <w:tab w:val="right" w:pos="8838" w:leader="none"/>
      </w:tabs>
    </w:pPr>
    <w:rPr>
      <w:sz w:val="20"/>
    </w:rPr>
  </w:style>
  <w:style w:type="paragraph" w:styleId="P30">
    <w:name w:val="Texto independiente primera sangría"/>
    <w:basedOn w:val="P11"/>
    <w:next w:val="P30"/>
    <w:link w:val="C11"/>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Pie de página Car"/>
    <w:basedOn w:val="C3"/>
    <w:link w:val="P29"/>
    <w:rPr>
      <w:sz w:val="20"/>
    </w:rPr>
  </w:style>
  <w:style w:type="character" w:styleId="C10">
    <w:name w:val="Texto sin formato Car"/>
    <w:basedOn w:val="C3"/>
    <w:link w:val="P20"/>
    <w:rPr>
      <w:rFonts w:ascii="Courier New" w:hAnsi="Courier New"/>
      <w:sz w:val="20"/>
    </w:rPr>
  </w:style>
  <w:style w:type="character" w:styleId="C11">
    <w:name w:val="Texto independiente primera sangría Car"/>
    <w:basedOn w:val="C5"/>
    <w:link w:val="P30"/>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2010-09-28T12:57:00Z</dcterms:created>
  <cp:lastModifiedBy>Ethan Puglia</cp:lastModifiedBy>
  <cp:lastPrinted>2010-09-16T13:34:00Z</cp:lastPrinted>
  <dcterms:modified xsi:type="dcterms:W3CDTF">2019-03-28T17:34:24Z</dcterms:modified>
  <cp:revision>6</cp:revision>
  <dc:title>PROYECTO DE ORDENANZA VIOLENCIA FAMILIAR</dc:title>
</cp:coreProperties>
</file>