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67687E" Type="http://schemas.openxmlformats.org/officeDocument/2006/relationships/officeDocument" Target="/word/document.xml" /><Relationship Id="coreR626768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8720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1125/03;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ind w:firstLine="0" w:left="426"/>
      </w:pPr>
      <w:r>
        <w:t>Que a través del mismo y mediante nota, la Sra. Norma Beatriz Garnero, solicita eximición de la deuda que en concepto de Tasa por Servicios a la Propiedad mantiene con la Municipalidad de Alta Gracia, el inmueble Designación Catastral 1-1-260-11;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Fs.10 obra copia de  escritura a nombre de la solicitante;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del Relevamiento Socioeconómico y Ambiental, se deprende que es un hogar, inserto en el sistema productivo mediante el trabajo informal,  ubicado debajo de la línea de la pobreza; 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Fs.11 vta., se describe las características de la vivienda como precarias, sin las  condiciones de habitabilidad mínimas para desarrollar una vida digna;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22 de Septiembre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right"/>
        <w:rPr>
          <w:rStyle w:val="C3"/>
        </w:rPr>
      </w:pPr>
    </w:p>
    <w:p>
      <w:pPr>
        <w:pStyle w:val="P12"/>
        <w:ind w:left="561"/>
        <w:jc w:val="right"/>
      </w:pPr>
      <w: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 xml:space="preserve">CONDONAR </w:t>
      </w:r>
      <w:r>
        <w:t xml:space="preserve">el CIEN POR CIENTO (100%) de la deuda que en concepto de Tasa por servicios a la propiedad mantiene con la municipalidad de Alta Gracia, el inmueble Designación Catastral </w:t>
      </w:r>
      <w:r>
        <w:rPr>
          <w:rStyle w:val="C3"/>
          <w:b w:val="1"/>
        </w:rPr>
        <w:t xml:space="preserve"> </w:t>
      </w:r>
      <w:r>
        <w:t>1-1-260-11.-</w:t>
      </w:r>
    </w:p>
    <w:p>
      <w:pPr>
        <w:pStyle w:val="P12"/>
        <w:ind w:hanging="426" w:left="426"/>
      </w:pPr>
    </w:p>
    <w:p>
      <w:pPr>
        <w:pStyle w:val="P12"/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ESTABLECER</w:t>
      </w:r>
      <w:r>
        <w:t xml:space="preserve"> una cuota mensual de PESOS DIEZ ($10) en tal concepto desde la promulgación de la presente y por el término de un año, momento en el cual se deberá realizar un nuevo Relevamiento Socioeconómico y Ambiental y de continuar la situación actual, EXTENDER el beneficio por otro año más.- </w:t>
      </w:r>
    </w:p>
    <w:p>
      <w:pPr>
        <w:pStyle w:val="P12"/>
        <w:ind w:hanging="426" w:left="426"/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actuantes, en particular al profesional  abogado Matricula Profesional N°27436, en virtud de lo establecido en la clausula 13° del convenio de partes oportunamente celebrado a los fines de dejar sin efectos e o los juicios iniciados, así como también los honorarios generados.-</w:t>
      </w:r>
    </w:p>
    <w:p>
      <w:pPr>
        <w:pStyle w:val="P12"/>
        <w:ind w:hanging="426" w:left="426"/>
        <w:rPr>
          <w:rStyle w:val="C3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VEINTIDOS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3A1A0C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2534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A16CC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0F78BC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4F11C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4812D8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CA4D9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1B4A7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92E639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481058C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0103C7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E93D1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5027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B082B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3B802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97C870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6341D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CEF4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2863A4E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2010-09-28T13:15:00Z</dcterms:created>
  <cp:lastModifiedBy>Ethan Puglia</cp:lastModifiedBy>
  <cp:lastPrinted>2010-09-28T13:12:00Z</cp:lastPrinted>
  <dcterms:modified xsi:type="dcterms:W3CDTF">2019-03-28T17:34:24Z</dcterms:modified>
  <cp:revision>6</cp:revision>
  <dc:title>PROYECTO DE ORDENANZA VIOLENCIA FAMILIAR</dc:title>
</cp:coreProperties>
</file>