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862AB92" Type="http://schemas.openxmlformats.org/officeDocument/2006/relationships/officeDocument" Target="/word/document.xml" /><Relationship Id="coreR2862AB9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8721</w:t>
      </w:r>
    </w:p>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Ordenanza Nº8535, los Expedientes N° 285/I/09, Nº 1155/10;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tabs>
          <w:tab w:val="left" w:pos="2824" w:leader="none"/>
        </w:tabs>
      </w:pPr>
    </w:p>
    <w:p>
      <w:pPr>
        <w:ind w:left="426"/>
        <w:jc w:val="both"/>
        <w:rPr>
          <w:rStyle w:val="C3"/>
          <w:rFonts w:ascii="Courier New" w:hAnsi="Courier New"/>
        </w:rPr>
      </w:pPr>
      <w:r>
        <w:rPr>
          <w:rStyle w:val="C3"/>
          <w:rFonts w:ascii="Courier New" w:hAnsi="Courier New"/>
        </w:rPr>
        <w:t>Que a través del plexo normativo de la mencionada Ordenanza y en respuesta a lo solicitado en el instrumento administrativo N° 285/I/09, se conceden beneficios especiales a las autoridades del Sanatorio Alta Gracia para la cancelación de la deuda que la Institución Sanatorial mantiene con la Municipalidad de la Ciudad de Alta Gracia;</w:t>
      </w:r>
    </w:p>
    <w:p>
      <w:pPr>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r>
        <w:rPr>
          <w:rStyle w:val="C3"/>
          <w:rFonts w:ascii="Courier New" w:hAnsi="Courier New"/>
        </w:rPr>
        <w:t>Que dicha deuda es en concepto de Tasa por Servicios a la Propiedad correspondiente a la Identificación 00003395 y por Tasa de Comercio e Industria correspondiente a la identificación N°02127;</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r>
        <w:rPr>
          <w:rStyle w:val="C3"/>
          <w:rFonts w:ascii="Courier New" w:hAnsi="Courier New"/>
        </w:rPr>
        <w:t>Que posteriormente y mediante nota, dichas autoridades realizan nueva propuesta de pago, distinta a lo determinado en el precepto primero de la Ordenanza de referencia;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r>
        <w:rPr>
          <w:rStyle w:val="C3"/>
          <w:rFonts w:ascii="Courier New" w:hAnsi="Courier New"/>
        </w:rPr>
        <w:t>Que, como antecedente de lo peticionado, citan el plan de refinanciación de deudas para agentes de salud fijados en la Resolución Normativa Nº 7 de la Dirección General de Rentas de la Provincia de Córdoba y Decreto Nº 748/08 mencionado en la misma;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right"/>
        <w:rPr>
          <w:rStyle w:val="C3"/>
          <w:rFonts w:ascii="Courier New" w:hAnsi="Courier New"/>
        </w:rPr>
      </w:pPr>
      <w:r>
        <w:rPr>
          <w:rStyle w:val="C3"/>
          <w:rFonts w:ascii="Courier New" w:hAnsi="Courier New"/>
        </w:rPr>
        <w:t>...///</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Courier New" w:hAnsi="Courier New"/>
        </w:rPr>
      </w:pPr>
      <w:r>
        <w:rPr>
          <w:rStyle w:val="C3"/>
          <w:rFonts w:ascii="Courier New" w:hAnsi="Courier New"/>
        </w:rPr>
        <w:t>...///2.-</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r>
        <w:rPr>
          <w:rStyle w:val="C3"/>
          <w:rFonts w:ascii="Courier New" w:hAnsi="Courier New"/>
        </w:rPr>
        <w:t xml:space="preserve">Que tal ofrecimiento  consiste en dos propuestas, a saber:</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r>
        <w:rPr>
          <w:rStyle w:val="C3"/>
          <w:rFonts w:ascii="Courier New" w:hAnsi="Courier New"/>
        </w:rPr>
        <w:t>a) Reducción del SETENTA POR CIENTO (70%) de intereses y CIENTO OCHENTA (180) cuotas con una tasa del CERO COMA CINCO POR CIENTO (0,5%) sobre capital para la refinanciación global de la acreencia fiscal.</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r>
        <w:rPr>
          <w:rStyle w:val="C3"/>
          <w:rFonts w:ascii="Courier New" w:hAnsi="Courier New"/>
        </w:rPr>
        <w:t xml:space="preserve">b) Abonar deuda de Tasa por Servicios a la Propiedad de contado a valor histórico y refinanciar la deuda de  tasa de Comercio e Industria en plan de CIENTO VEINTE (120) cuotas con tasa del CERO COMA UNO POR CIENTO (0,1%) sobre saldos;</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426"/>
        <w:jc w:val="both"/>
        <w:rPr>
          <w:rStyle w:val="C3"/>
          <w:rFonts w:ascii="Courier New" w:hAnsi="Courier New"/>
        </w:rPr>
      </w:pPr>
      <w:r>
        <w:rPr>
          <w:rStyle w:val="C3"/>
          <w:rFonts w:ascii="Courier New" w:hAnsi="Courier New"/>
        </w:rPr>
        <w:t xml:space="preserve">Que en reunión mantenida con el Honorable Concejo Deliberante, se acordó, y en el  marco de posibilidades que, según expresan sus autoridades, posee el Sanatorio Alta Gracia SRL, optar por la propuesta b);</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el Concejo Comisión, el mismo emite despacho favorable aprobado por Unanimidad en Sesión Ordinaria del día 22 de Septiembre de 2010.-</w:t>
      </w:r>
    </w:p>
    <w:p>
      <w:pPr>
        <w:pStyle w:val="P11"/>
        <w:jc w:val="right"/>
        <w:rPr>
          <w:rStyle w:val="C3"/>
        </w:rPr>
      </w:pPr>
    </w:p>
    <w:p>
      <w:pPr>
        <w:pStyle w:val="P11"/>
        <w:jc w:val="right"/>
        <w:rPr>
          <w:rStyle w:val="C3"/>
        </w:rPr>
      </w:pPr>
    </w:p>
    <w:p>
      <w:pPr>
        <w:pStyle w:val="P11"/>
        <w:jc w:val="righ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center"/>
        <w:rPr>
          <w:rStyle w:val="C3"/>
          <w:b w:val="1"/>
        </w:rPr>
      </w:pPr>
    </w:p>
    <w:p>
      <w:pPr>
        <w:jc w:val="both"/>
        <w:rPr>
          <w:rStyle w:val="C3"/>
          <w:rFonts w:ascii="Courier New" w:hAnsi="Courier New"/>
          <w:b w:val="1"/>
          <w:u w:val="single"/>
        </w:rPr>
      </w:pPr>
    </w:p>
    <w:p>
      <w:pPr>
        <w:pStyle w:val="P12"/>
        <w:ind w:hanging="426" w:left="426"/>
      </w:pPr>
      <w:r>
        <w:rPr>
          <w:rStyle w:val="C3"/>
          <w:b w:val="1"/>
          <w:u w:val="single"/>
        </w:rPr>
        <w:t>Art.1</w:t>
      </w:r>
      <w:r>
        <w:rPr>
          <w:rStyle w:val="C3"/>
          <w:b w:val="1"/>
        </w:rPr>
        <w:t xml:space="preserve">: </w:t>
      </w:r>
      <w:r>
        <w:rPr>
          <w:rStyle w:val="C3"/>
          <w:b w:val="1"/>
        </w:rPr>
        <w:t>DEROGAR</w:t>
      </w:r>
      <w:r>
        <w:t xml:space="preserve"> el Art.1º de la Ordenanza Nº 8535.-</w:t>
      </w:r>
    </w:p>
    <w:p>
      <w:pPr>
        <w:pStyle w:val="P12"/>
        <w:ind w:hanging="426" w:left="426"/>
      </w:pPr>
    </w:p>
    <w:p>
      <w:pPr>
        <w:pStyle w:val="P12"/>
        <w:ind w:hanging="426" w:left="426"/>
      </w:pPr>
      <w:r>
        <w:rPr>
          <w:rStyle w:val="C3"/>
          <w:b w:val="1"/>
          <w:u w:val="single"/>
        </w:rPr>
        <w:t>Art.2</w:t>
      </w:r>
      <w:r>
        <w:rPr>
          <w:rStyle w:val="C3"/>
          <w:b w:val="1"/>
        </w:rPr>
        <w:t xml:space="preserve">: </w:t>
      </w:r>
      <w:r>
        <w:rPr>
          <w:rStyle w:val="C3"/>
          <w:b w:val="1"/>
        </w:rPr>
        <w:t>AUTORÍZA</w:t>
      </w:r>
      <w:r>
        <w:rPr>
          <w:rStyle w:val="C3"/>
          <w:b w:val="1"/>
        </w:rPr>
        <w:t>R</w:t>
      </w:r>
      <w:r>
        <w:t xml:space="preserve"> al Departamento Ejecutivo a percibir el importe  de  la  deuda  que  en  concepto  de  Tasa  por </w:t>
      </w:r>
    </w:p>
    <w:p>
      <w:pPr>
        <w:pStyle w:val="P12"/>
        <w:ind w:hanging="426" w:left="426"/>
        <w:jc w:val="right"/>
      </w:pPr>
      <w:r>
        <w:t xml:space="preserve"> ...///</w:t>
      </w: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6"/>
        <w:ind w:left="113"/>
        <w:jc w:val="center"/>
        <w:rPr>
          <w:rStyle w:val="C3"/>
          <w:b w:val="1"/>
          <w:sz w:val="24"/>
        </w:rPr>
      </w:pPr>
      <w:r>
        <w:rPr>
          <w:rStyle w:val="C3"/>
          <w:rFonts w:ascii="JaneAusten" w:hAnsi="JaneAusten"/>
          <w:b w:val="0"/>
          <w:sz w:val="24"/>
        </w:rPr>
        <w:t>“</w:t>
      </w:r>
      <w:r>
        <w:rPr>
          <w:rStyle w:val="C3"/>
          <w:rFonts w:ascii="JaneAusten" w:hAnsi="JaneAusten"/>
          <w:b w:val="0"/>
          <w:sz w:val="24"/>
        </w:rPr>
        <w:t>2010 Año del Bicentenario de la Revolución de Mayo”</w:t>
      </w:r>
    </w:p>
    <w:p>
      <w:pPr>
        <w:pStyle w:val="P4"/>
        <w:rPr>
          <w:rStyle w:val="C3"/>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Courier New" w:hAnsi="Courier New"/>
        </w:rPr>
      </w:pPr>
      <w:r>
        <w:rPr>
          <w:rStyle w:val="C3"/>
          <w:rFonts w:ascii="Courier New" w:hAnsi="Courier New"/>
        </w:rPr>
        <w:t>...///3.-</w:t>
      </w:r>
    </w:p>
    <w:p>
      <w:pPr>
        <w:pStyle w:val="P12"/>
        <w:ind w:left="426"/>
        <w:rPr>
          <w:rStyle w:val="C3"/>
        </w:rPr>
      </w:pPr>
    </w:p>
    <w:p>
      <w:pPr>
        <w:pStyle w:val="P12"/>
        <w:ind w:left="426"/>
      </w:pPr>
      <w:r>
        <w:t>Servicios a la Propiedad correspondiente a la Identificación 00003395 mantiene al 30 de Diciembre de 2009, el Sanatorio Alta Gracia SRL con el Estado Municipal, de contado y a valor histórico.-</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al Departamento Ejecutivo percibir el importe de la deuda de capital a valores históricos, que en concepto de Tasa de Comercio e Industria correspondiente a la Identificación N° 02127, el Sanatorio Alta Gracia SRL, mantiene con la el Estado Municipal, al 30 de Diciembre de 2009, en plan de 120 cuotas con tasa de financiación del CERO COMA UNO POR CIENTO (0,1%) mensual sobre saldos, debiendo dicha institución regularizar los honorarios  y gastos emergentes de la procuración, a los profesionales abogados intervinientes como así también montos dinerarios originados por otros conceptos (multas, etc.).-</w:t>
      </w:r>
    </w:p>
    <w:p>
      <w:pPr>
        <w:ind w:hanging="426" w:left="426"/>
        <w:jc w:val="both"/>
        <w:rPr>
          <w:rStyle w:val="C3"/>
          <w:rFonts w:ascii="Courier New" w:hAnsi="Courier New"/>
        </w:rPr>
      </w:pPr>
    </w:p>
    <w:p>
      <w:pPr>
        <w:pStyle w:val="P13"/>
        <w:ind w:hanging="457" w:left="567"/>
      </w:pPr>
      <w:r>
        <w:rPr>
          <w:rStyle w:val="C3"/>
          <w:b w:val="1"/>
          <w:u w:val="single"/>
        </w:rPr>
        <w:t>Art.4</w:t>
      </w:r>
      <w:r>
        <w:rPr>
          <w:rStyle w:val="C3"/>
          <w:b w:val="1"/>
        </w:rPr>
        <w:t>:</w:t>
      </w:r>
      <w:r>
        <w:rPr>
          <w:rStyle w:val="C3"/>
          <w:b w:val="1"/>
        </w:rPr>
        <w:t xml:space="preserve"> </w:t>
      </w:r>
      <w:r>
        <w:rPr>
          <w:rStyle w:val="C3"/>
          <w:b w:val="1"/>
        </w:rPr>
        <w:t>L</w:t>
      </w:r>
      <w:r>
        <w:rPr>
          <w:rStyle w:val="C3"/>
          <w:b w:val="1"/>
        </w:rPr>
        <w:t>A</w:t>
      </w:r>
      <w:r>
        <w:rPr>
          <w:rStyle w:val="C3"/>
          <w:b w:val="1"/>
        </w:rPr>
        <w:t xml:space="preserve"> </w:t>
      </w:r>
      <w:r>
        <w:t xml:space="preserve">caducidad del plan de facilidades de pago previsto, operara de pleno derecho y sin necesidad de que medie intervención alguna por parte de la Municipalidad de la Ciudad de Alta Gracia, cuando se verifique la falta de pago de TRES (3) cuotas consecutivas o alternadas  o cuando a los SESENTA (60) días corridos del vencimiento de la ultima cuota solicitada, no se hubiere cancelado integralmente el plan de pagos en cuestión.-</w:t>
      </w:r>
    </w:p>
    <w:p>
      <w:pPr>
        <w:pStyle w:val="P13"/>
        <w:ind w:hanging="457" w:left="567"/>
      </w:pPr>
    </w:p>
    <w:p>
      <w:pPr>
        <w:pStyle w:val="P13"/>
        <w:ind w:hanging="457" w:left="567"/>
      </w:pPr>
      <w:r>
        <w:rPr>
          <w:rStyle w:val="C3"/>
          <w:b w:val="1"/>
          <w:u w:val="single"/>
        </w:rPr>
        <w:t>Art.5</w:t>
      </w:r>
      <w:r>
        <w:rPr>
          <w:rStyle w:val="C3"/>
          <w:b w:val="1"/>
        </w:rPr>
        <w:t>:</w:t>
      </w:r>
      <w:r>
        <w:rPr>
          <w:rStyle w:val="C3"/>
          <w:b w:val="1"/>
        </w:rPr>
        <w:t xml:space="preserve"> </w:t>
      </w:r>
      <w:r>
        <w:rPr>
          <w:rStyle w:val="C3"/>
          <w:b w:val="1"/>
        </w:rPr>
        <w:t xml:space="preserve">A </w:t>
      </w:r>
      <w:r>
        <w:t xml:space="preserve">los fines de percibir los beneficios concedidos  precedentemente, la peticionante deberá satisfacer, en sede municipal y  dentro de los TREINTA (30) días de notificada,  las instancias administrativas necesarias a tales fines.- </w:t>
      </w:r>
    </w:p>
    <w:p>
      <w:pPr>
        <w:pStyle w:val="P13"/>
        <w:ind w:hanging="457" w:left="567"/>
        <w:jc w:val="right"/>
      </w:pPr>
      <w: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rPr>
          <w:rStyle w:val="C3"/>
          <w:rFonts w:ascii="Courier New" w:hAnsi="Courier New"/>
        </w:rPr>
      </w:pPr>
      <w:r>
        <w:rPr>
          <w:rStyle w:val="C3"/>
          <w:rFonts w:ascii="Courier New" w:hAnsi="Courier New"/>
        </w:rPr>
        <w:t>...///4.-</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6</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VEINTIDOS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DFC96A9">
      <w:start w:val="0"/>
      <w:numFmt w:val="bullet"/>
      <w:suff w:val="tab"/>
      <w:lvlText w:val=""/>
      <w:lvlJc w:val="left"/>
      <w:pPr>
        <w:ind w:hanging="360" w:left="927"/>
      </w:pPr>
      <w:rPr>
        <w:rFonts w:ascii="Symbol" w:hAnsi="Symbol"/>
      </w:rPr>
    </w:lvl>
    <w:lvl w:ilvl="1" w:tplc="03001858">
      <w:start w:val="1"/>
      <w:numFmt w:val="bullet"/>
      <w:suff w:val="tab"/>
      <w:lvlText w:val="o"/>
      <w:lvlJc w:val="left"/>
      <w:pPr>
        <w:ind w:hanging="360" w:left="1647"/>
      </w:pPr>
      <w:rPr>
        <w:rFonts w:ascii="Courier New" w:hAnsi="Courier New"/>
      </w:rPr>
    </w:lvl>
    <w:lvl w:ilvl="2" w:tplc="013E09E4">
      <w:start w:val="1"/>
      <w:numFmt w:val="bullet"/>
      <w:suff w:val="tab"/>
      <w:lvlText w:val=""/>
      <w:lvlJc w:val="left"/>
      <w:pPr>
        <w:ind w:hanging="360" w:left="2367"/>
      </w:pPr>
      <w:rPr>
        <w:rFonts w:ascii="Wingdings" w:hAnsi="Wingdings"/>
      </w:rPr>
    </w:lvl>
    <w:lvl w:ilvl="3" w:tplc="6C3ED3D6">
      <w:start w:val="1"/>
      <w:numFmt w:val="bullet"/>
      <w:suff w:val="tab"/>
      <w:lvlText w:val=""/>
      <w:lvlJc w:val="left"/>
      <w:pPr>
        <w:ind w:hanging="360" w:left="3087"/>
      </w:pPr>
      <w:rPr>
        <w:rFonts w:ascii="Symbol" w:hAnsi="Symbol"/>
      </w:rPr>
    </w:lvl>
    <w:lvl w:ilvl="4" w:tplc="1921C95B">
      <w:start w:val="1"/>
      <w:numFmt w:val="bullet"/>
      <w:suff w:val="tab"/>
      <w:lvlText w:val="o"/>
      <w:lvlJc w:val="left"/>
      <w:pPr>
        <w:ind w:hanging="360" w:left="3807"/>
      </w:pPr>
      <w:rPr>
        <w:rFonts w:ascii="Courier New" w:hAnsi="Courier New"/>
      </w:rPr>
    </w:lvl>
    <w:lvl w:ilvl="5" w:tplc="6C605DC3">
      <w:start w:val="1"/>
      <w:numFmt w:val="bullet"/>
      <w:suff w:val="tab"/>
      <w:lvlText w:val=""/>
      <w:lvlJc w:val="left"/>
      <w:pPr>
        <w:ind w:hanging="360" w:left="4527"/>
      </w:pPr>
      <w:rPr>
        <w:rFonts w:ascii="Wingdings" w:hAnsi="Wingdings"/>
      </w:rPr>
    </w:lvl>
    <w:lvl w:ilvl="6" w:tplc="334BB95A">
      <w:start w:val="1"/>
      <w:numFmt w:val="bullet"/>
      <w:suff w:val="tab"/>
      <w:lvlText w:val=""/>
      <w:lvlJc w:val="left"/>
      <w:pPr>
        <w:ind w:hanging="360" w:left="5247"/>
      </w:pPr>
      <w:rPr>
        <w:rFonts w:ascii="Symbol" w:hAnsi="Symbol"/>
      </w:rPr>
    </w:lvl>
    <w:lvl w:ilvl="7" w:tplc="3F36596E">
      <w:start w:val="1"/>
      <w:numFmt w:val="bullet"/>
      <w:suff w:val="tab"/>
      <w:lvlText w:val="o"/>
      <w:lvlJc w:val="left"/>
      <w:pPr>
        <w:ind w:hanging="360" w:left="5967"/>
      </w:pPr>
      <w:rPr>
        <w:rFonts w:ascii="Courier New" w:hAnsi="Courier New"/>
      </w:rPr>
    </w:lvl>
    <w:lvl w:ilvl="8" w:tplc="73E884C2">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555FC3D3">
      <w:start w:val="1"/>
      <w:numFmt w:val="bullet"/>
      <w:suff w:val="tab"/>
      <w:lvlText w:val=""/>
      <w:lvlJc w:val="left"/>
      <w:pPr>
        <w:ind w:hanging="360" w:left="720"/>
        <w:tabs>
          <w:tab w:val="left" w:pos="720" w:leader="none"/>
        </w:tabs>
      </w:pPr>
      <w:rPr>
        <w:rFonts w:ascii="Symbol" w:hAnsi="Symbol"/>
      </w:rPr>
    </w:lvl>
    <w:lvl w:ilvl="1" w:tplc="05248984">
      <w:start w:val="1"/>
      <w:numFmt w:val="bullet"/>
      <w:suff w:val="tab"/>
      <w:lvlText w:val="o"/>
      <w:lvlJc w:val="left"/>
      <w:pPr>
        <w:ind w:hanging="360" w:left="1440"/>
        <w:tabs>
          <w:tab w:val="left" w:pos="1440" w:leader="none"/>
        </w:tabs>
      </w:pPr>
      <w:rPr>
        <w:rFonts w:ascii="Courier New" w:hAnsi="Courier New"/>
      </w:rPr>
    </w:lvl>
    <w:lvl w:ilvl="2" w:tplc="104B92E4">
      <w:start w:val="1"/>
      <w:numFmt w:val="bullet"/>
      <w:suff w:val="tab"/>
      <w:lvlText w:val=""/>
      <w:lvlJc w:val="left"/>
      <w:pPr>
        <w:ind w:hanging="360" w:left="2160"/>
        <w:tabs>
          <w:tab w:val="left" w:pos="2160" w:leader="none"/>
        </w:tabs>
      </w:pPr>
      <w:rPr>
        <w:rFonts w:ascii="Wingdings" w:hAnsi="Wingdings"/>
      </w:rPr>
    </w:lvl>
    <w:lvl w:ilvl="3" w:tplc="66535E4B">
      <w:start w:val="1"/>
      <w:numFmt w:val="bullet"/>
      <w:suff w:val="tab"/>
      <w:lvlText w:val=""/>
      <w:lvlJc w:val="left"/>
      <w:pPr>
        <w:ind w:hanging="360" w:left="2880"/>
        <w:tabs>
          <w:tab w:val="left" w:pos="2880" w:leader="none"/>
        </w:tabs>
      </w:pPr>
      <w:rPr>
        <w:rFonts w:ascii="Symbol" w:hAnsi="Symbol"/>
      </w:rPr>
    </w:lvl>
    <w:lvl w:ilvl="4" w:tplc="566A1560">
      <w:start w:val="1"/>
      <w:numFmt w:val="bullet"/>
      <w:suff w:val="tab"/>
      <w:lvlText w:val="o"/>
      <w:lvlJc w:val="left"/>
      <w:pPr>
        <w:ind w:hanging="360" w:left="3600"/>
        <w:tabs>
          <w:tab w:val="left" w:pos="3600" w:leader="none"/>
        </w:tabs>
      </w:pPr>
      <w:rPr>
        <w:rFonts w:ascii="Courier New" w:hAnsi="Courier New"/>
      </w:rPr>
    </w:lvl>
    <w:lvl w:ilvl="5" w:tplc="052D5513">
      <w:start w:val="1"/>
      <w:numFmt w:val="bullet"/>
      <w:suff w:val="tab"/>
      <w:lvlText w:val=""/>
      <w:lvlJc w:val="left"/>
      <w:pPr>
        <w:ind w:hanging="360" w:left="4320"/>
        <w:tabs>
          <w:tab w:val="left" w:pos="4320" w:leader="none"/>
        </w:tabs>
      </w:pPr>
      <w:rPr>
        <w:rFonts w:ascii="Wingdings" w:hAnsi="Wingdings"/>
      </w:rPr>
    </w:lvl>
    <w:lvl w:ilvl="6" w:tplc="2F8A2641">
      <w:start w:val="1"/>
      <w:numFmt w:val="bullet"/>
      <w:suff w:val="tab"/>
      <w:lvlText w:val=""/>
      <w:lvlJc w:val="left"/>
      <w:pPr>
        <w:ind w:hanging="360" w:left="5040"/>
        <w:tabs>
          <w:tab w:val="left" w:pos="5040" w:leader="none"/>
        </w:tabs>
      </w:pPr>
      <w:rPr>
        <w:rFonts w:ascii="Symbol" w:hAnsi="Symbol"/>
      </w:rPr>
    </w:lvl>
    <w:lvl w:ilvl="7" w:tplc="0530E88F">
      <w:start w:val="1"/>
      <w:numFmt w:val="bullet"/>
      <w:suff w:val="tab"/>
      <w:lvlText w:val="o"/>
      <w:lvlJc w:val="left"/>
      <w:pPr>
        <w:ind w:hanging="360" w:left="5760"/>
        <w:tabs>
          <w:tab w:val="left" w:pos="5760" w:leader="none"/>
        </w:tabs>
      </w:pPr>
      <w:rPr>
        <w:rFonts w:ascii="Courier New" w:hAnsi="Courier New"/>
      </w:rPr>
    </w:lvl>
    <w:lvl w:ilvl="8" w:tplc="183A1FA2">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0ABDDB3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2010-09-28T13:44:00Z</dcterms:created>
  <cp:lastModifiedBy>Ethan Puglia</cp:lastModifiedBy>
  <cp:lastPrinted>2010-09-28T13:12:00Z</cp:lastPrinted>
  <dcterms:modified xsi:type="dcterms:W3CDTF">2019-03-28T17:34:24Z</dcterms:modified>
  <cp:revision>6</cp:revision>
  <dc:title>PROYECTO DE ORDENANZA VIOLENCIA FAMILIAR</dc:title>
</cp:coreProperties>
</file>