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6F45C73" Type="http://schemas.openxmlformats.org/officeDocument/2006/relationships/officeDocument" Target="/word/document.xml" /><Relationship Id="coreR66F45C7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Nº 8731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rPr>
        <w:t>Visto: El vencimiento del convenio firmado entre la Distribuidora Gas del Centro S.A. y la Municipalidad de Alta Gracia por la que se otorga el uso del dominio público de las redes de propiedad del Municipio a la Distribuidora con la finalidad de la prestación del Servicio Público de Distribución y Comercialización de Gas Natural Domiciliario, por el término de 15 años, la Ley Nacional 24076 Marco Regulatorio del Servicio de Gas Natural; y</w:t>
      </w:r>
    </w:p>
    <w:p>
      <w:pPr>
        <w:ind w:hanging="561" w:left="561"/>
        <w:jc w:val="both"/>
        <w:rPr>
          <w:rStyle w:val="C3"/>
          <w:rFonts w:ascii="Courier New" w:hAnsi="Courier New"/>
        </w:rPr>
      </w:pPr>
    </w:p>
    <w:p>
      <w:pPr>
        <w:pStyle w:val="P2"/>
        <w:rPr>
          <w:rStyle w:val="C3"/>
        </w:rPr>
      </w:pPr>
    </w:p>
    <w:p>
      <w:pPr>
        <w:pStyle w:val="P2"/>
      </w:pPr>
      <w:r>
        <w:t>C O N S I D E R A N D O</w:t>
      </w:r>
    </w:p>
    <w:p/>
    <w:p/>
    <w:p>
      <w:pPr>
        <w:pStyle w:val="P17"/>
        <w:ind w:left="426"/>
        <w:rPr>
          <w:rStyle w:val="C3"/>
          <w:b w:val="1"/>
        </w:rPr>
      </w:pPr>
      <w:r>
        <w:rPr>
          <w:rStyle w:val="C3"/>
          <w:b w:val="0"/>
        </w:rPr>
        <w:t xml:space="preserve">Que habiendo transcurrido ocho meses del ejercicio </w:t>
      </w:r>
      <w:r>
        <w:rPr>
          <w:rStyle w:val="C3"/>
          <w:b w:val="0"/>
        </w:rPr>
        <w:t>q</w:t>
      </w:r>
      <w:r>
        <w:rPr>
          <w:rStyle w:val="C3"/>
          <w:b w:val="0"/>
        </w:rPr>
        <w:t xml:space="preserve">ue por Ordenanza N° 2077, de fecha del 12 </w:t>
      </w:r>
      <w:r>
        <w:rPr>
          <w:rStyle w:val="C3"/>
          <w:b w:val="0"/>
        </w:rPr>
        <w:t>A</w:t>
      </w:r>
      <w:r>
        <w:rPr>
          <w:rStyle w:val="C3"/>
          <w:b w:val="0"/>
        </w:rPr>
        <w:t>bril de 1989, se declaraba de utilidad pública el pago obligatorio a cargo total de la población la ejecución total o parcial de los trabajos de construcción del gasoducto de alta presión, estaciones reguladoras de presión y a los frentistas afectados a la ejecución total o parcial de los trabajos de construcción de la red de distribución, derivación domiciliaria de gas natural, como así también las obras complementarias para Alta Gracia</w:t>
      </w:r>
      <w:r>
        <w:rPr>
          <w:rStyle w:val="C3"/>
          <w:b w:val="0"/>
        </w:rPr>
        <w:t>;</w:t>
      </w:r>
    </w:p>
    <w:p>
      <w:pPr>
        <w:pStyle w:val="P17"/>
        <w:ind w:left="426"/>
        <w:rPr>
          <w:rStyle w:val="C3"/>
          <w:b w:val="1"/>
        </w:rPr>
      </w:pPr>
    </w:p>
    <w:p>
      <w:pPr>
        <w:pStyle w:val="P17"/>
        <w:ind w:left="426"/>
        <w:rPr>
          <w:rStyle w:val="C3"/>
          <w:b w:val="1"/>
        </w:rPr>
      </w:pPr>
      <w:r>
        <w:rPr>
          <w:rStyle w:val="C3"/>
          <w:b w:val="0"/>
        </w:rPr>
        <w:t xml:space="preserve">Que en el Artículo 18 de la citada </w:t>
      </w:r>
      <w:r>
        <w:rPr>
          <w:rStyle w:val="C3"/>
          <w:b w:val="0"/>
        </w:rPr>
        <w:t>O</w:t>
      </w:r>
      <w:r>
        <w:rPr>
          <w:rStyle w:val="C3"/>
          <w:b w:val="0"/>
        </w:rPr>
        <w:t>rdenanza, como asimismo en el Pliego Particular de Condiciones de la Licitación, se expresa que el pago del precio total del trabajo de las obras de Gas que realice la Municipalidad, como así también los mayores costos sobrevinientes estarán a cargo de los propietarios de los inmuebles comprendido</w:t>
      </w:r>
      <w:r>
        <w:rPr>
          <w:rStyle w:val="C3"/>
          <w:b w:val="0"/>
        </w:rPr>
        <w:t>s dentro de la zona beneficiada;</w:t>
      </w:r>
    </w:p>
    <w:p>
      <w:pPr>
        <w:pStyle w:val="P17"/>
        <w:ind w:hanging="283" w:left="709"/>
        <w:jc w:val="right"/>
        <w:rPr>
          <w:rStyle w:val="C3"/>
          <w:b w:val="1"/>
        </w:rPr>
      </w:pPr>
      <w:r>
        <w:rPr>
          <w:rStyle w:val="C3"/>
          <w:b w:val="0"/>
        </w:rPr>
        <w:t>...///</w:t>
      </w: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...///2.-</w:t>
      </w:r>
    </w:p>
    <w:p>
      <w:pPr>
        <w:pStyle w:val="P17"/>
        <w:ind w:left="426"/>
        <w:rPr>
          <w:rStyle w:val="C3"/>
          <w:b w:val="1"/>
        </w:rPr>
      </w:pPr>
    </w:p>
    <w:p>
      <w:pPr>
        <w:pStyle w:val="P17"/>
        <w:ind w:left="426"/>
        <w:rPr>
          <w:rStyle w:val="C3"/>
          <w:b w:val="1"/>
        </w:rPr>
      </w:pPr>
      <w:r>
        <w:rPr>
          <w:rStyle w:val="C3"/>
          <w:b w:val="0"/>
        </w:rPr>
        <w:t xml:space="preserve">Que el Artículo 19 establece la obligatoriedad del pago establecido por parte de los inmuebles de dominio público o privado, nacional, provincial o municipal, incluyendo sin excepción a toda clase de entidades o instituciones de cualquier índole, salvo </w:t>
      </w:r>
      <w:r>
        <w:rPr>
          <w:rStyle w:val="C3"/>
          <w:b w:val="0"/>
        </w:rPr>
        <w:t>O</w:t>
      </w:r>
      <w:r>
        <w:rPr>
          <w:rStyle w:val="C3"/>
          <w:b w:val="0"/>
        </w:rPr>
        <w:t>rdenanza en contrario que</w:t>
      </w:r>
      <w:r>
        <w:rPr>
          <w:rStyle w:val="C3"/>
          <w:b w:val="0"/>
        </w:rPr>
        <w:t xml:space="preserve"> determine la excepción expresa;</w:t>
      </w:r>
    </w:p>
    <w:p>
      <w:pPr>
        <w:pStyle w:val="P17"/>
        <w:ind w:left="426"/>
        <w:rPr>
          <w:rStyle w:val="C3"/>
          <w:b w:val="1"/>
        </w:rPr>
      </w:pPr>
    </w:p>
    <w:p>
      <w:pPr>
        <w:pStyle w:val="P17"/>
        <w:ind w:left="426"/>
        <w:rPr>
          <w:rStyle w:val="C3"/>
          <w:b w:val="1"/>
        </w:rPr>
      </w:pPr>
      <w:r>
        <w:rPr>
          <w:rStyle w:val="C3"/>
          <w:b w:val="0"/>
        </w:rPr>
        <w:t>Que las obras declaradas de utilidad pública y de pago obligatorio a cargo total de la población comprendían el movimiento de suelo, la rotura de veredas y pavimento, y su reconstrucción, la instalación de cañerías alimentadoras y distribuidoras de gas, soldadura, protección anticorrosiva, y servicio domiciliario respectivos</w:t>
      </w:r>
      <w:r>
        <w:rPr>
          <w:rStyle w:val="C3"/>
          <w:b w:val="0"/>
        </w:rPr>
        <w:t>,</w:t>
      </w:r>
      <w:r>
        <w:rPr>
          <w:rStyle w:val="C3"/>
          <w:b w:val="0"/>
        </w:rPr>
        <w:t xml:space="preserve"> además de la provisión de instalación de protección catódica y provisión de material civil</w:t>
      </w:r>
      <w:r>
        <w:rPr>
          <w:rStyle w:val="C3"/>
          <w:b w:val="0"/>
        </w:rPr>
        <w:t>;</w:t>
      </w:r>
    </w:p>
    <w:p>
      <w:pPr>
        <w:pStyle w:val="P17"/>
        <w:ind w:left="426"/>
        <w:rPr>
          <w:rStyle w:val="C3"/>
          <w:b w:val="1"/>
        </w:rPr>
      </w:pPr>
    </w:p>
    <w:p>
      <w:pPr>
        <w:pStyle w:val="P17"/>
        <w:ind w:left="426"/>
        <w:rPr>
          <w:rStyle w:val="C3"/>
          <w:b w:val="1"/>
        </w:rPr>
      </w:pPr>
      <w:r>
        <w:rPr>
          <w:rStyle w:val="C3"/>
          <w:b w:val="0"/>
        </w:rPr>
        <w:t xml:space="preserve">Que </w:t>
      </w:r>
      <w:r>
        <w:rPr>
          <w:rStyle w:val="C3"/>
          <w:b w:val="0"/>
        </w:rPr>
        <w:t xml:space="preserve">el </w:t>
      </w:r>
      <w:r>
        <w:rPr>
          <w:rStyle w:val="C3"/>
          <w:b w:val="0"/>
        </w:rPr>
        <w:t>09</w:t>
      </w:r>
      <w:r>
        <w:rPr>
          <w:rStyle w:val="C3"/>
          <w:b w:val="0"/>
        </w:rPr>
        <w:t xml:space="preserve"> de </w:t>
      </w:r>
      <w:r>
        <w:rPr>
          <w:rStyle w:val="C3"/>
          <w:b w:val="0"/>
        </w:rPr>
        <w:t>J</w:t>
      </w:r>
      <w:r>
        <w:rPr>
          <w:rStyle w:val="C3"/>
          <w:b w:val="0"/>
        </w:rPr>
        <w:t xml:space="preserve">unio de </w:t>
      </w:r>
      <w:r>
        <w:rPr>
          <w:rStyle w:val="C3"/>
          <w:b w:val="0"/>
        </w:rPr>
        <w:t>1995</w:t>
      </w:r>
      <w:r>
        <w:rPr>
          <w:rStyle w:val="C3"/>
          <w:b w:val="0"/>
        </w:rPr>
        <w:t xml:space="preserve">, fue suscripto entre la Municipalidad y la Distribuidora de Gas del Centro S.A, el Contrato de Concesión por el término de 15 años. El mismo fue ratificado por Ord. 3028 del Honorable Concejo Deliberante, el 30 de Junio del mismo año, promulgada por </w:t>
      </w:r>
      <w:r>
        <w:rPr>
          <w:rStyle w:val="C3"/>
          <w:b w:val="0"/>
        </w:rPr>
        <w:t>D</w:t>
      </w:r>
      <w:r>
        <w:rPr>
          <w:rStyle w:val="C3"/>
          <w:b w:val="0"/>
        </w:rPr>
        <w:t xml:space="preserve">ecreto </w:t>
      </w:r>
      <w:r>
        <w:rPr>
          <w:rStyle w:val="C3"/>
          <w:b w:val="0"/>
        </w:rPr>
        <w:t xml:space="preserve">Nº </w:t>
      </w:r>
      <w:r>
        <w:rPr>
          <w:rStyle w:val="C3"/>
          <w:b w:val="0"/>
        </w:rPr>
        <w:t>384/95</w:t>
      </w:r>
      <w:r>
        <w:rPr>
          <w:rStyle w:val="C3"/>
          <w:b w:val="0"/>
        </w:rPr>
        <w:t>;</w:t>
      </w:r>
    </w:p>
    <w:p>
      <w:pPr>
        <w:pStyle w:val="P17"/>
        <w:ind w:left="426"/>
        <w:rPr>
          <w:rStyle w:val="C3"/>
          <w:b w:val="1"/>
        </w:rPr>
      </w:pPr>
    </w:p>
    <w:p>
      <w:pPr>
        <w:pStyle w:val="P17"/>
        <w:ind w:left="426"/>
        <w:rPr>
          <w:rStyle w:val="C3"/>
          <w:b w:val="1"/>
        </w:rPr>
      </w:pPr>
      <w:r>
        <w:rPr>
          <w:rStyle w:val="C3"/>
          <w:b w:val="0"/>
        </w:rPr>
        <w:t>Que el mencionado convenio, en su Artículo 1°, prevé la posibilidad de una prórroga por 15 años más a criterio de la Municipalidad</w:t>
      </w:r>
      <w:r>
        <w:rPr>
          <w:rStyle w:val="C3"/>
          <w:b w:val="0"/>
        </w:rPr>
        <w:t>;</w:t>
      </w:r>
    </w:p>
    <w:p>
      <w:pPr>
        <w:pStyle w:val="P17"/>
        <w:ind w:left="426"/>
        <w:rPr>
          <w:rStyle w:val="C3"/>
          <w:b w:val="1"/>
        </w:rPr>
      </w:pPr>
    </w:p>
    <w:p>
      <w:pPr>
        <w:pStyle w:val="P17"/>
        <w:ind w:left="426"/>
        <w:rPr>
          <w:rStyle w:val="C3"/>
          <w:b w:val="1"/>
        </w:rPr>
      </w:pPr>
      <w:r>
        <w:rPr>
          <w:rStyle w:val="C3"/>
          <w:b w:val="0"/>
        </w:rPr>
        <w:t xml:space="preserve">Que, sin embargo, se establece en el mismo dispositivo que el ejercicio del derecho de prórroga quedara librado a </w:t>
      </w:r>
      <w:r>
        <w:rPr>
          <w:rStyle w:val="C3"/>
          <w:b w:val="0"/>
        </w:rPr>
        <w:t xml:space="preserve"> </w:t>
      </w:r>
      <w:r>
        <w:rPr>
          <w:rStyle w:val="C3"/>
          <w:b w:val="0"/>
        </w:rPr>
        <w:t xml:space="preserve">criterio </w:t>
      </w:r>
      <w:r>
        <w:rPr>
          <w:rStyle w:val="C3"/>
          <w:b w:val="0"/>
        </w:rPr>
        <w:t xml:space="preserve"> </w:t>
      </w:r>
      <w:r>
        <w:rPr>
          <w:rStyle w:val="C3"/>
          <w:b w:val="0"/>
        </w:rPr>
        <w:t xml:space="preserve">de </w:t>
      </w:r>
      <w:r>
        <w:rPr>
          <w:rStyle w:val="C3"/>
          <w:b w:val="0"/>
        </w:rPr>
        <w:t xml:space="preserve"> </w:t>
      </w:r>
      <w:r>
        <w:rPr>
          <w:rStyle w:val="C3"/>
          <w:b w:val="0"/>
        </w:rPr>
        <w:t xml:space="preserve">la </w:t>
      </w:r>
      <w:r>
        <w:rPr>
          <w:rStyle w:val="C3"/>
          <w:b w:val="0"/>
        </w:rPr>
        <w:t xml:space="preserve"> </w:t>
      </w:r>
      <w:r>
        <w:rPr>
          <w:rStyle w:val="C3"/>
          <w:b w:val="0"/>
        </w:rPr>
        <w:t>Municipalidad</w:t>
      </w:r>
      <w:r>
        <w:rPr>
          <w:rStyle w:val="C3"/>
          <w:b w:val="0"/>
        </w:rPr>
        <w:t xml:space="preserve"> </w:t>
      </w:r>
      <w:r>
        <w:rPr>
          <w:rStyle w:val="C3"/>
          <w:b w:val="0"/>
        </w:rPr>
        <w:t xml:space="preserve"> y </w:t>
      </w:r>
      <w:r>
        <w:rPr>
          <w:rStyle w:val="C3"/>
          <w:b w:val="0"/>
        </w:rPr>
        <w:t xml:space="preserve"> </w:t>
      </w:r>
      <w:r>
        <w:rPr>
          <w:rStyle w:val="C3"/>
          <w:b w:val="0"/>
        </w:rPr>
        <w:t>no tiene carácter</w:t>
      </w:r>
      <w:r>
        <w:rPr>
          <w:rStyle w:val="C3"/>
          <w:b w:val="0"/>
        </w:rPr>
        <w:t xml:space="preserve"> </w:t>
      </w:r>
      <w:r>
        <w:rPr>
          <w:rStyle w:val="C3"/>
          <w:b w:val="0"/>
        </w:rPr>
        <w:t xml:space="preserve">vinculante ni crea a favor de la distribuidora derecho, compromiso u </w:t>
      </w:r>
      <w:r>
        <w:rPr>
          <w:rStyle w:val="C3"/>
          <w:b w:val="0"/>
        </w:rPr>
        <w:t xml:space="preserve"> </w:t>
      </w:r>
      <w:r>
        <w:rPr>
          <w:rStyle w:val="C3"/>
          <w:b w:val="0"/>
        </w:rPr>
        <w:t xml:space="preserve">obligación </w:t>
      </w:r>
      <w:r>
        <w:rPr>
          <w:rStyle w:val="C3"/>
          <w:b w:val="0"/>
        </w:rPr>
        <w:t xml:space="preserve"> </w:t>
      </w:r>
      <w:r>
        <w:rPr>
          <w:rStyle w:val="C3"/>
          <w:b w:val="0"/>
        </w:rPr>
        <w:t>alguna</w:t>
      </w:r>
      <w:r>
        <w:rPr>
          <w:rStyle w:val="C3"/>
          <w:b w:val="0"/>
        </w:rPr>
        <w:t xml:space="preserve"> </w:t>
      </w:r>
      <w:r>
        <w:rPr>
          <w:rStyle w:val="C3"/>
          <w:b w:val="0"/>
        </w:rPr>
        <w:t xml:space="preserve"> del</w:t>
      </w:r>
      <w:r>
        <w:rPr>
          <w:rStyle w:val="C3"/>
          <w:b w:val="0"/>
        </w:rPr>
        <w:t xml:space="preserve"> </w:t>
      </w:r>
      <w:r>
        <w:rPr>
          <w:rStyle w:val="C3"/>
          <w:b w:val="0"/>
        </w:rPr>
        <w:t xml:space="preserve"> uso o no de dicha </w:t>
      </w:r>
    </w:p>
    <w:p>
      <w:pPr>
        <w:pStyle w:val="P17"/>
        <w:ind w:left="426"/>
        <w:jc w:val="right"/>
        <w:rPr>
          <w:rStyle w:val="C3"/>
          <w:b w:val="1"/>
        </w:rPr>
      </w:pPr>
      <w:r>
        <w:rPr>
          <w:rStyle w:val="C3"/>
          <w:b w:val="0"/>
        </w:rPr>
        <w:t>...///</w:t>
      </w: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r>
        <w:rPr>
          <w:rStyle w:val="C3"/>
          <w:b w:val="0"/>
        </w:rPr>
        <w:t>...///</w:t>
      </w:r>
      <w:r>
        <w:rPr>
          <w:rStyle w:val="C3"/>
          <w:b w:val="0"/>
        </w:rPr>
        <w:t>3</w:t>
      </w:r>
      <w:r>
        <w:rPr>
          <w:rStyle w:val="C3"/>
          <w:b w:val="0"/>
        </w:rPr>
        <w:t>.-</w:t>
      </w:r>
    </w:p>
    <w:p>
      <w:pPr>
        <w:pStyle w:val="P17"/>
        <w:ind w:left="426"/>
        <w:jc w:val="right"/>
        <w:rPr>
          <w:rStyle w:val="C3"/>
          <w:b w:val="1"/>
        </w:rPr>
      </w:pPr>
    </w:p>
    <w:p>
      <w:pPr>
        <w:pStyle w:val="P17"/>
        <w:ind w:left="426"/>
        <w:rPr>
          <w:rStyle w:val="C3"/>
          <w:b w:val="1"/>
        </w:rPr>
      </w:pPr>
      <w:r>
        <w:rPr>
          <w:rStyle w:val="C3"/>
          <w:b w:val="0"/>
        </w:rPr>
        <w:t>o</w:t>
      </w:r>
      <w:r>
        <w:rPr>
          <w:rStyle w:val="C3"/>
          <w:b w:val="0"/>
        </w:rPr>
        <w:t xml:space="preserve">pción, al margen de lo estipulado en la Ley  N° 24076 y su reglamentación, y en </w:t>
      </w:r>
      <w:r>
        <w:rPr>
          <w:rStyle w:val="C3"/>
          <w:b w:val="0"/>
        </w:rPr>
        <w:t xml:space="preserve">un </w:t>
      </w:r>
      <w:r>
        <w:rPr>
          <w:rStyle w:val="C3"/>
          <w:b w:val="0"/>
        </w:rPr>
        <w:t>todo de acuerdo con la norma vigente en aquel momento,</w:t>
      </w:r>
      <w:r>
        <w:rPr>
          <w:rStyle w:val="C3"/>
          <w:b w:val="0"/>
        </w:rPr>
        <w:t xml:space="preserve"> Ley Orgánica Municipal N° 8102;</w:t>
      </w:r>
    </w:p>
    <w:p>
      <w:pPr>
        <w:pStyle w:val="P17"/>
        <w:ind w:left="426"/>
        <w:rPr>
          <w:rStyle w:val="C3"/>
          <w:b w:val="1"/>
        </w:rPr>
      </w:pPr>
    </w:p>
    <w:p>
      <w:pPr>
        <w:pStyle w:val="P17"/>
        <w:ind w:left="426"/>
        <w:rPr>
          <w:rStyle w:val="C3"/>
          <w:b w:val="1"/>
        </w:rPr>
      </w:pPr>
      <w:r>
        <w:rPr>
          <w:rStyle w:val="C3"/>
          <w:b w:val="0"/>
        </w:rPr>
        <w:t>Que el gasoducto de aproximación, renovación y ampliación de cañerías y servicios fueron solventadas por los vecinos o por el Estado Provincial. En tanto que las inversiones realizadas por la distribuidora han sido de menor cuantía</w:t>
      </w:r>
      <w:r>
        <w:rPr>
          <w:rStyle w:val="C3"/>
          <w:b w:val="0"/>
        </w:rPr>
        <w:t>;</w:t>
      </w:r>
    </w:p>
    <w:p>
      <w:pPr>
        <w:pStyle w:val="P17"/>
        <w:ind w:left="426"/>
        <w:rPr>
          <w:rStyle w:val="C3"/>
          <w:b w:val="1"/>
        </w:rPr>
      </w:pPr>
    </w:p>
    <w:p>
      <w:pPr>
        <w:pStyle w:val="P17"/>
        <w:ind w:left="426"/>
        <w:rPr>
          <w:rStyle w:val="C3"/>
          <w:b w:val="1"/>
        </w:rPr>
      </w:pPr>
      <w:r>
        <w:rPr>
          <w:rStyle w:val="C3"/>
          <w:b w:val="0"/>
        </w:rPr>
        <w:t>Que si bien la distribuidora estaba autorizada para efectuar las inversiones requeridas en la red de distribución, ramal de aproximación y estaciones reductoras en el servicio consideradas técnicamente necesarias, las partes debían acordar un procedimiento que le permitiese a la misma el recupero de los montos de inversiones cuyos períodos de amortización superasen los plazos de vigencia del convenio</w:t>
      </w:r>
      <w:r>
        <w:rPr>
          <w:rStyle w:val="C3"/>
          <w:b w:val="0"/>
        </w:rPr>
        <w:t>;</w:t>
      </w:r>
    </w:p>
    <w:p>
      <w:pPr>
        <w:pStyle w:val="P17"/>
        <w:ind w:left="426"/>
        <w:rPr>
          <w:rStyle w:val="C3"/>
          <w:b w:val="1"/>
        </w:rPr>
      </w:pPr>
    </w:p>
    <w:p>
      <w:pPr>
        <w:pStyle w:val="P17"/>
        <w:ind w:left="426"/>
        <w:rPr>
          <w:rStyle w:val="C3"/>
          <w:b w:val="1"/>
        </w:rPr>
      </w:pPr>
      <w:r>
        <w:rPr>
          <w:rStyle w:val="C3"/>
          <w:b w:val="0"/>
        </w:rPr>
        <w:t>Que en el Artículo 2</w:t>
      </w:r>
      <w:r>
        <w:rPr>
          <w:rStyle w:val="C3"/>
          <w:b w:val="0"/>
        </w:rPr>
        <w:t>º</w:t>
      </w:r>
      <w:r>
        <w:rPr>
          <w:rStyle w:val="C3"/>
          <w:b w:val="0"/>
        </w:rPr>
        <w:t xml:space="preserve"> del Convenio se deja expresamente asentado que las eventuales extensiones de redes u obras de infraestructura no están estipuladas dentro de las inversiones exigidas a la distribuidora, por lo que las mismas siempre han sido llevadas adelante por el aporte de la Provincia y los vecinos</w:t>
      </w:r>
      <w:r>
        <w:rPr>
          <w:rStyle w:val="C3"/>
          <w:b w:val="0"/>
        </w:rPr>
        <w:t>;</w:t>
      </w:r>
    </w:p>
    <w:p>
      <w:pPr>
        <w:pStyle w:val="P17"/>
        <w:ind w:left="426"/>
        <w:rPr>
          <w:rStyle w:val="C3"/>
          <w:b w:val="1"/>
        </w:rPr>
      </w:pPr>
    </w:p>
    <w:p>
      <w:pPr>
        <w:pStyle w:val="P17"/>
        <w:ind w:left="426"/>
        <w:rPr>
          <w:rStyle w:val="C3"/>
          <w:b w:val="1"/>
        </w:rPr>
      </w:pPr>
      <w:r>
        <w:rPr>
          <w:rStyle w:val="C3"/>
          <w:b w:val="0"/>
        </w:rPr>
        <w:t>Que, además, los bienes y/o las actividades de la distribuidora están exentos de toda clase de gravámenes e impuestos, tasas, contribuciones especiales,</w:t>
      </w:r>
      <w:r>
        <w:rPr>
          <w:rStyle w:val="C3"/>
          <w:b w:val="0"/>
        </w:rPr>
        <w:t xml:space="preserve"> cargos y derechos de carácter M</w:t>
      </w:r>
      <w:r>
        <w:rPr>
          <w:rStyle w:val="C3"/>
          <w:b w:val="0"/>
        </w:rPr>
        <w:t>unicipal</w:t>
      </w:r>
      <w:r>
        <w:rPr>
          <w:rStyle w:val="C3"/>
          <w:b w:val="0"/>
        </w:rPr>
        <w:t>;</w:t>
      </w:r>
    </w:p>
    <w:p>
      <w:pPr>
        <w:pStyle w:val="P17"/>
        <w:ind w:left="426"/>
        <w:rPr>
          <w:rStyle w:val="C3"/>
          <w:b w:val="1"/>
        </w:rPr>
      </w:pPr>
    </w:p>
    <w:p>
      <w:pPr>
        <w:pStyle w:val="P17"/>
        <w:ind w:left="426"/>
        <w:rPr>
          <w:rStyle w:val="C3"/>
          <w:b w:val="1"/>
        </w:rPr>
      </w:pPr>
      <w:r>
        <w:rPr>
          <w:rStyle w:val="C3"/>
          <w:b w:val="0"/>
        </w:rPr>
        <w:t>Que, en los QUINCE (15) años en que estuvo a cargo del servicio, la concesionaria, según datos que ella misma aportó mediante nota recibida por esta Municipalidad el</w:t>
      </w:r>
    </w:p>
    <w:p>
      <w:pPr>
        <w:pStyle w:val="P17"/>
        <w:ind w:left="426"/>
        <w:jc w:val="right"/>
        <w:rPr>
          <w:rStyle w:val="C3"/>
          <w:b w:val="1"/>
        </w:rPr>
      </w:pPr>
      <w:r>
        <w:rPr>
          <w:rStyle w:val="C3"/>
          <w:b w:val="0"/>
        </w:rPr>
        <w:t>...///</w:t>
      </w: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...///4.-</w:t>
      </w:r>
    </w:p>
    <w:p>
      <w:pPr>
        <w:pStyle w:val="P17"/>
        <w:ind w:left="426"/>
        <w:rPr>
          <w:rStyle w:val="C3"/>
          <w:b w:val="1"/>
        </w:rPr>
      </w:pPr>
    </w:p>
    <w:p>
      <w:pPr>
        <w:pStyle w:val="P17"/>
        <w:ind w:left="426"/>
        <w:rPr>
          <w:rStyle w:val="C3"/>
          <w:b w:val="1"/>
        </w:rPr>
      </w:pPr>
      <w:r>
        <w:rPr>
          <w:rStyle w:val="C3"/>
          <w:b w:val="0"/>
        </w:rPr>
        <w:t>08 de J</w:t>
      </w:r>
      <w:r>
        <w:rPr>
          <w:rStyle w:val="C3"/>
          <w:b w:val="0"/>
        </w:rPr>
        <w:t xml:space="preserve">ulio de 2010, habría invertido la ínfima suma de PESOS NOVECIENTOS DIECIOCHO MIL OCHOCIENTOS CUARENTA Y OCHO </w:t>
      </w:r>
      <w:r>
        <w:rPr>
          <w:rStyle w:val="C3"/>
          <w:b w:val="0"/>
        </w:rPr>
        <w:t>($918.848);</w:t>
      </w:r>
    </w:p>
    <w:p>
      <w:pPr>
        <w:pStyle w:val="P17"/>
        <w:ind w:left="426"/>
        <w:rPr>
          <w:rStyle w:val="C3"/>
          <w:b w:val="1"/>
        </w:rPr>
      </w:pPr>
    </w:p>
    <w:p>
      <w:pPr>
        <w:pStyle w:val="P17"/>
        <w:ind w:left="426"/>
        <w:rPr>
          <w:rStyle w:val="C3"/>
          <w:b w:val="1"/>
        </w:rPr>
      </w:pPr>
      <w:r>
        <w:rPr>
          <w:rStyle w:val="C3"/>
          <w:b w:val="0"/>
        </w:rPr>
        <w:t>Que, para ejemplificar lo mínimo de esta inversión, cabe mencionar que la empresa de economía mixta Carlos Paz Gas S</w:t>
      </w:r>
      <w:r>
        <w:rPr>
          <w:rStyle w:val="C3"/>
          <w:b w:val="0"/>
        </w:rPr>
        <w:t>.</w:t>
      </w:r>
      <w:r>
        <w:rPr>
          <w:rStyle w:val="C3"/>
          <w:b w:val="0"/>
        </w:rPr>
        <w:t>A obtenido en concepto de ganancias del ejercicio 2009 la suma de DOSCIENTOS VEINTISIETE MIL QUINIENTOS OCHENTA Y SEIS PESOS CON OCHENTA Y TRES CENTAVOS ($227.586,83), luego de haber realizado numerosas inversiones, entre ellas UN MILLÓN SETECIENTOS SETENTA Y UN MIL DOSCIENTOS MIL PESOS ($1.771.200) para ampliación de la red de distribución</w:t>
      </w:r>
      <w:r>
        <w:rPr>
          <w:rStyle w:val="C3"/>
          <w:b w:val="0"/>
        </w:rPr>
        <w:t>;</w:t>
      </w:r>
      <w:r>
        <w:rPr>
          <w:rStyle w:val="C3"/>
          <w:b w:val="0"/>
        </w:rPr>
        <w:t xml:space="preserve"> </w:t>
      </w:r>
    </w:p>
    <w:p>
      <w:pPr>
        <w:pStyle w:val="P17"/>
        <w:ind w:left="426"/>
        <w:rPr>
          <w:rStyle w:val="C3"/>
          <w:b w:val="1"/>
        </w:rPr>
      </w:pPr>
    </w:p>
    <w:p>
      <w:pPr>
        <w:pStyle w:val="P17"/>
        <w:ind w:left="426"/>
        <w:rPr>
          <w:rStyle w:val="C3"/>
          <w:b w:val="1"/>
        </w:rPr>
      </w:pPr>
      <w:r>
        <w:rPr>
          <w:rStyle w:val="C3"/>
          <w:b w:val="0"/>
        </w:rPr>
        <w:t xml:space="preserve">Que, además, se incluyen dentro del rubro inversión conceptos que no lo son, como por ejemplo la instalación de medidores que, en realidad, según el </w:t>
      </w:r>
      <w:r>
        <w:rPr>
          <w:rStyle w:val="C3"/>
          <w:b w:val="0"/>
        </w:rPr>
        <w:t>A</w:t>
      </w:r>
      <w:r>
        <w:rPr>
          <w:rStyle w:val="C3"/>
          <w:b w:val="0"/>
        </w:rPr>
        <w:t>rtículo 4</w:t>
      </w:r>
      <w:r>
        <w:rPr>
          <w:rStyle w:val="C3"/>
          <w:b w:val="0"/>
        </w:rPr>
        <w:t>º</w:t>
      </w:r>
      <w:r>
        <w:rPr>
          <w:rStyle w:val="C3"/>
          <w:b w:val="0"/>
        </w:rPr>
        <w:t xml:space="preserve"> del Convenio, son parte de la contraprestación que debía cumplir la concesionaria</w:t>
      </w:r>
      <w:r>
        <w:rPr>
          <w:rStyle w:val="C3"/>
          <w:b w:val="0"/>
        </w:rPr>
        <w:t>;</w:t>
      </w:r>
      <w:r>
        <w:rPr>
          <w:rStyle w:val="C3"/>
          <w:b w:val="0"/>
        </w:rPr>
        <w:t xml:space="preserve"> </w:t>
      </w:r>
    </w:p>
    <w:p>
      <w:pPr>
        <w:pStyle w:val="P17"/>
        <w:ind w:left="426"/>
        <w:rPr>
          <w:rStyle w:val="C3"/>
          <w:b w:val="1"/>
        </w:rPr>
      </w:pPr>
    </w:p>
    <w:p>
      <w:pPr>
        <w:pStyle w:val="P17"/>
        <w:ind w:left="426"/>
        <w:rPr>
          <w:rStyle w:val="C3"/>
          <w:b w:val="1"/>
        </w:rPr>
      </w:pPr>
      <w:r>
        <w:rPr>
          <w:rStyle w:val="C3"/>
          <w:b w:val="0"/>
        </w:rPr>
        <w:t xml:space="preserve">Que por Decreto </w:t>
      </w:r>
      <w:r>
        <w:rPr>
          <w:rStyle w:val="C3"/>
          <w:b w:val="0"/>
        </w:rPr>
        <w:t xml:space="preserve">Nº </w:t>
      </w:r>
      <w:r>
        <w:rPr>
          <w:rStyle w:val="C3"/>
          <w:b w:val="0"/>
        </w:rPr>
        <w:t xml:space="preserve">828/03 del </w:t>
      </w:r>
      <w:r>
        <w:rPr>
          <w:rStyle w:val="C3"/>
          <w:b w:val="0"/>
        </w:rPr>
        <w:t>0</w:t>
      </w:r>
      <w:r>
        <w:rPr>
          <w:rStyle w:val="C3"/>
          <w:b w:val="0"/>
        </w:rPr>
        <w:t xml:space="preserve">1 de </w:t>
      </w:r>
      <w:r>
        <w:rPr>
          <w:rStyle w:val="C3"/>
          <w:b w:val="0"/>
        </w:rPr>
        <w:t>S</w:t>
      </w:r>
      <w:r>
        <w:rPr>
          <w:rStyle w:val="C3"/>
          <w:b w:val="0"/>
        </w:rPr>
        <w:t>eptiembre de 2003 se ratifica en todos sus términos el convenio de Gestión de Cobranza celebrado entre la Municipalidad de Alta Gracia y la Distribuidora del Centro S.A</w:t>
      </w:r>
      <w:r>
        <w:rPr>
          <w:rStyle w:val="C3"/>
          <w:b w:val="0"/>
        </w:rPr>
        <w:t>;</w:t>
      </w:r>
    </w:p>
    <w:p>
      <w:pPr>
        <w:pStyle w:val="P17"/>
        <w:ind w:left="426"/>
        <w:rPr>
          <w:rStyle w:val="C3"/>
          <w:b w:val="1"/>
        </w:rPr>
      </w:pPr>
    </w:p>
    <w:p>
      <w:pPr>
        <w:pStyle w:val="P17"/>
        <w:ind w:left="426"/>
        <w:rPr>
          <w:rStyle w:val="C3"/>
          <w:b w:val="1"/>
        </w:rPr>
      </w:pPr>
      <w:r>
        <w:rPr>
          <w:rStyle w:val="C3"/>
          <w:b w:val="0"/>
        </w:rPr>
        <w:t>Que la Municipalidad de Alta Gracia, en función de los acuerdos logrados con la empresa Malvicino y Bifarey, es titular de los certificados de deuda de los vecinos frentistas, contribuyentes de la obra de gas (gasoducto de aproximación, planta reguladora de presión y redes de distribución domiciliaria) que viabilizaron la gasificac</w:t>
      </w:r>
      <w:r>
        <w:rPr>
          <w:rStyle w:val="C3"/>
          <w:b w:val="0"/>
        </w:rPr>
        <w:t>ión de la ciudad de Alta Gracia;</w:t>
      </w:r>
    </w:p>
    <w:p>
      <w:pPr>
        <w:pStyle w:val="P17"/>
        <w:ind w:left="426"/>
        <w:rPr>
          <w:rStyle w:val="C3"/>
          <w:b w:val="1"/>
        </w:rPr>
      </w:pPr>
    </w:p>
    <w:p>
      <w:pPr>
        <w:pStyle w:val="P17"/>
        <w:ind w:left="426"/>
        <w:jc w:val="right"/>
        <w:rPr>
          <w:rStyle w:val="C3"/>
          <w:b w:val="1"/>
        </w:rPr>
      </w:pPr>
      <w:r>
        <w:rPr>
          <w:rStyle w:val="C3"/>
          <w:b w:val="0"/>
        </w:rPr>
        <w:t>...///</w:t>
      </w: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7"/>
        <w:ind w:left="426"/>
        <w:rPr>
          <w:rStyle w:val="C3"/>
          <w:b w:val="1"/>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...///5.-</w:t>
      </w:r>
    </w:p>
    <w:p>
      <w:pPr>
        <w:pStyle w:val="P17"/>
        <w:ind w:left="426"/>
        <w:rPr>
          <w:rStyle w:val="C3"/>
          <w:b w:val="1"/>
        </w:rPr>
      </w:pPr>
    </w:p>
    <w:p>
      <w:pPr>
        <w:pStyle w:val="P17"/>
        <w:ind w:left="426"/>
        <w:rPr>
          <w:rStyle w:val="C3"/>
          <w:b w:val="1"/>
        </w:rPr>
      </w:pPr>
      <w:r>
        <w:rPr>
          <w:rStyle w:val="C3"/>
          <w:b w:val="0"/>
        </w:rPr>
        <w:t>Que fue propósito de la Municipalidad recuperar dichos créditos facilitando al vecino su conexión al servicio de gas natural, para que con el ahorro obtenido por la sustitución de sus actuales combustibles hogareños por el gas natural, pueda afrontar el plan de pago en cuotas que la Municipalidad le ofreció con el saldo de la deuda, conforme a lo establecido por la Ordenanza N° 5210</w:t>
      </w:r>
      <w:r>
        <w:rPr>
          <w:rStyle w:val="C3"/>
          <w:b w:val="0"/>
        </w:rPr>
        <w:t>;</w:t>
      </w:r>
    </w:p>
    <w:p>
      <w:pPr>
        <w:pStyle w:val="P17"/>
        <w:ind w:left="426"/>
        <w:rPr>
          <w:rStyle w:val="C3"/>
          <w:b w:val="1"/>
        </w:rPr>
      </w:pPr>
    </w:p>
    <w:p>
      <w:pPr>
        <w:pStyle w:val="P17"/>
        <w:ind w:left="426"/>
        <w:rPr>
          <w:rStyle w:val="C3"/>
          <w:b w:val="1"/>
        </w:rPr>
      </w:pPr>
      <w:r>
        <w:rPr>
          <w:rStyle w:val="C3"/>
          <w:b w:val="0"/>
        </w:rPr>
        <w:t>Que con la finalidad del recupero de los créditos devengados por la ejecución de las obras correspondientes (gasoducto de aproximación, planta reguladora de presión y redes de distribución domiciliaria) la Municipalidad encomendó a la Distribuidora la gestión de cobranza del plan de pago en cuotas tomado por el frentista deudor, mediante la factura de consumo de gas que la distribuidora le emitía bimestralmente a sus clientes</w:t>
      </w:r>
      <w:r>
        <w:rPr>
          <w:rStyle w:val="C3"/>
          <w:b w:val="0"/>
        </w:rPr>
        <w:t>;</w:t>
      </w:r>
    </w:p>
    <w:p>
      <w:pPr>
        <w:pStyle w:val="P17"/>
        <w:ind w:left="426"/>
        <w:rPr>
          <w:rStyle w:val="C3"/>
          <w:b w:val="1"/>
        </w:rPr>
      </w:pPr>
    </w:p>
    <w:p>
      <w:pPr>
        <w:pStyle w:val="P17"/>
        <w:ind w:left="426"/>
        <w:rPr>
          <w:rStyle w:val="C3"/>
          <w:b w:val="1"/>
        </w:rPr>
      </w:pPr>
      <w:r>
        <w:rPr>
          <w:rStyle w:val="C3"/>
          <w:b w:val="0"/>
        </w:rPr>
        <w:t>Que, en el momento de suscribir la solicitud del servicio, el frentista debía acogerse obligadamente al plan de pago previsto en la factura de consumo de gas</w:t>
      </w:r>
      <w:r>
        <w:rPr>
          <w:rStyle w:val="C3"/>
          <w:b w:val="0"/>
        </w:rPr>
        <w:t>;</w:t>
      </w:r>
    </w:p>
    <w:p>
      <w:pPr>
        <w:pStyle w:val="P17"/>
        <w:ind w:left="426"/>
        <w:rPr>
          <w:rStyle w:val="C3"/>
          <w:b w:val="1"/>
        </w:rPr>
      </w:pPr>
    </w:p>
    <w:p>
      <w:pPr>
        <w:pStyle w:val="P17"/>
        <w:ind w:left="426"/>
        <w:rPr>
          <w:rStyle w:val="C3"/>
          <w:b w:val="1"/>
        </w:rPr>
      </w:pPr>
      <w:r>
        <w:rPr>
          <w:rStyle w:val="C3"/>
          <w:b w:val="0"/>
        </w:rPr>
        <w:t>Que la Ordenanza N° 5210 se aprueba el listado de deudores de obras de gas, que solicitaron ser incluidos en el convenio de Gestión de Cobranza celebrado entre la Municipalidad de Alta Gracia y las empresas Malvicino S.A. y Bifarey S.A</w:t>
      </w:r>
      <w:r>
        <w:rPr>
          <w:rStyle w:val="C3"/>
          <w:b w:val="0"/>
        </w:rPr>
        <w:t>;</w:t>
      </w:r>
    </w:p>
    <w:p>
      <w:pPr>
        <w:pStyle w:val="P17"/>
        <w:ind w:left="426"/>
        <w:rPr>
          <w:rStyle w:val="C3"/>
          <w:b w:val="1"/>
        </w:rPr>
      </w:pPr>
    </w:p>
    <w:p>
      <w:pPr>
        <w:pStyle w:val="P17"/>
        <w:ind w:left="426"/>
        <w:rPr>
          <w:rStyle w:val="C3"/>
          <w:b w:val="1"/>
        </w:rPr>
      </w:pPr>
      <w:r>
        <w:rPr>
          <w:rStyle w:val="C3"/>
          <w:b w:val="0"/>
        </w:rPr>
        <w:t>Que en una primera etapa incluyó a más de 200 vecinos que se acogieron al plan de pago en cuotas</w:t>
      </w:r>
      <w:r>
        <w:rPr>
          <w:rStyle w:val="C3"/>
          <w:b w:val="0"/>
        </w:rPr>
        <w:t>;</w:t>
      </w:r>
    </w:p>
    <w:p>
      <w:pPr>
        <w:pStyle w:val="P17"/>
        <w:ind w:left="426"/>
        <w:rPr>
          <w:rStyle w:val="C3"/>
          <w:b w:val="1"/>
        </w:rPr>
      </w:pPr>
    </w:p>
    <w:p>
      <w:pPr>
        <w:pStyle w:val="P17"/>
        <w:ind w:left="426"/>
        <w:jc w:val="right"/>
        <w:rPr>
          <w:rStyle w:val="C3"/>
          <w:b w:val="1"/>
        </w:rPr>
      </w:pPr>
      <w:r>
        <w:rPr>
          <w:rStyle w:val="C3"/>
          <w:b w:val="0"/>
        </w:rPr>
        <w:t>...///</w:t>
      </w: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jc w:val="right"/>
        <w:rPr>
          <w:rStyle w:val="C3"/>
          <w:b w:val="1"/>
        </w:rPr>
      </w:pPr>
    </w:p>
    <w:p>
      <w:pPr>
        <w:pStyle w:val="P17"/>
        <w:ind w:left="426"/>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...///6.-</w:t>
      </w:r>
    </w:p>
    <w:p>
      <w:pPr>
        <w:pStyle w:val="P17"/>
        <w:ind w:left="426"/>
        <w:rPr>
          <w:rStyle w:val="C3"/>
          <w:b w:val="1"/>
        </w:rPr>
      </w:pPr>
    </w:p>
    <w:p>
      <w:pPr>
        <w:pStyle w:val="P17"/>
        <w:ind w:left="426"/>
        <w:rPr>
          <w:rStyle w:val="C3"/>
          <w:b w:val="1"/>
        </w:rPr>
      </w:pPr>
      <w:r>
        <w:rPr>
          <w:rStyle w:val="C3"/>
          <w:b w:val="0"/>
        </w:rPr>
        <w:t>Que las futuras inversiones anunciadas por el Gobierno de la Provincia para ampliar la red de prestación en la Ciudad de Alta Gracia serán efectuadas con fondos pert</w:t>
      </w:r>
      <w:r>
        <w:rPr>
          <w:rStyle w:val="C3"/>
          <w:b w:val="0"/>
        </w:rPr>
        <w:t>enecientes al Estado Provincial;</w:t>
      </w:r>
    </w:p>
    <w:p>
      <w:pPr>
        <w:pStyle w:val="P17"/>
        <w:ind w:left="426"/>
        <w:rPr>
          <w:rStyle w:val="C3"/>
          <w:b w:val="1"/>
        </w:rPr>
      </w:pPr>
    </w:p>
    <w:p>
      <w:pPr>
        <w:pStyle w:val="P17"/>
        <w:ind w:left="426"/>
        <w:rPr>
          <w:rStyle w:val="C3"/>
          <w:b w:val="1"/>
        </w:rPr>
      </w:pPr>
      <w:r>
        <w:rPr>
          <w:rStyle w:val="C3"/>
          <w:b w:val="0"/>
        </w:rPr>
        <w:t>Q</w:t>
      </w:r>
      <w:r>
        <w:rPr>
          <w:rStyle w:val="C3"/>
          <w:b w:val="0"/>
        </w:rPr>
        <w:t>ue según anuncios del Secretario de Obras y Servicios Públicos de la Provincia el aumento de la capacidad de conducción del gasoducto de aproximación sería financiado por la Provincia, como así también aportará los insumos necesarios para la ampliación de la red domiciliaria</w:t>
      </w:r>
      <w:r>
        <w:rPr>
          <w:rStyle w:val="C3"/>
          <w:b w:val="0"/>
        </w:rPr>
        <w:t>;</w:t>
      </w:r>
    </w:p>
    <w:p>
      <w:pPr>
        <w:pStyle w:val="P17"/>
        <w:ind w:left="426"/>
        <w:rPr>
          <w:rStyle w:val="C3"/>
          <w:b w:val="1"/>
        </w:rPr>
      </w:pPr>
    </w:p>
    <w:p>
      <w:pPr>
        <w:pStyle w:val="P17"/>
        <w:ind w:left="426"/>
        <w:rPr>
          <w:rStyle w:val="C3"/>
          <w:b w:val="1"/>
        </w:rPr>
      </w:pPr>
      <w:r>
        <w:rPr>
          <w:rStyle w:val="C3"/>
          <w:b w:val="0"/>
        </w:rPr>
        <w:t>Que el A</w:t>
      </w:r>
      <w:r>
        <w:rPr>
          <w:rStyle w:val="C3"/>
          <w:b w:val="0"/>
        </w:rPr>
        <w:t>rtículo 4</w:t>
      </w:r>
      <w:r>
        <w:rPr>
          <w:rStyle w:val="C3"/>
          <w:b w:val="0"/>
        </w:rPr>
        <w:t>º</w:t>
      </w:r>
      <w:r>
        <w:rPr>
          <w:rStyle w:val="C3"/>
          <w:b w:val="0"/>
        </w:rPr>
        <w:t xml:space="preserve"> del Marco Regulatorio de la Actividad, </w:t>
      </w:r>
      <w:r>
        <w:rPr>
          <w:rStyle w:val="C3"/>
          <w:b w:val="0"/>
        </w:rPr>
        <w:t>L</w:t>
      </w:r>
      <w:r>
        <w:rPr>
          <w:rStyle w:val="C3"/>
          <w:b w:val="0"/>
        </w:rPr>
        <w:t>ey</w:t>
      </w:r>
      <w:r>
        <w:rPr>
          <w:rStyle w:val="C3"/>
          <w:b w:val="0"/>
        </w:rPr>
        <w:t xml:space="preserve"> Nº</w:t>
      </w:r>
      <w:r>
        <w:rPr>
          <w:rStyle w:val="C3"/>
          <w:b w:val="0"/>
        </w:rPr>
        <w:t xml:space="preserve"> 24076, establece que </w:t>
      </w:r>
      <w:r>
        <w:rPr>
          <w:rStyle w:val="C3"/>
          <w:b w:val="0"/>
          <w:i w:val="1"/>
        </w:rPr>
        <w:t>“el transporte y distribución de gas natural deberán ser realizados por personas jurídicas de derecho privado a las que el Poder Ejecutivo haya habilitado mediante el otorgamiento de la correspondiente concesión, licencia o permiso, previa selección por licitación pública (...). El Estado Nacional y las provincias, por si, o a través de cualquiera de sus organismos o empresas dependientes, sólo podrán proveer servicio de transporte y distribución en el caso de que cumplidos los procedimientos de licitación previstos en la presente Ley no existieren oferentes a los que pudiere adjudicarse la prestación de los mismos”</w:t>
      </w:r>
      <w:r>
        <w:rPr>
          <w:rStyle w:val="C3"/>
          <w:b w:val="0"/>
          <w:i w:val="1"/>
        </w:rPr>
        <w:t>;</w:t>
      </w:r>
    </w:p>
    <w:p>
      <w:pPr>
        <w:pStyle w:val="P17"/>
        <w:ind w:left="426"/>
        <w:rPr>
          <w:rStyle w:val="C3"/>
          <w:b w:val="1"/>
        </w:rPr>
      </w:pPr>
    </w:p>
    <w:p>
      <w:pPr>
        <w:ind w:left="426"/>
        <w:jc w:val="both"/>
        <w:rPr>
          <w:rStyle w:val="C3"/>
          <w:rFonts w:ascii="Courier New" w:hAnsi="Courier New"/>
          <w:i w:val="1"/>
        </w:rPr>
      </w:pPr>
      <w:r>
        <w:rPr>
          <w:rStyle w:val="C3"/>
          <w:rFonts w:ascii="Courier New" w:hAnsi="Courier New"/>
        </w:rPr>
        <w:t xml:space="preserve">Que el Artículo 42º de nuestra Carta Orgánica Municipal establece que </w:t>
      </w:r>
      <w:r>
        <w:rPr>
          <w:rStyle w:val="C3"/>
          <w:rFonts w:ascii="Courier New" w:hAnsi="Courier New"/>
          <w:i w:val="1"/>
        </w:rPr>
        <w:t xml:space="preserve">“El Estado Municipal garantiza la prestación de servicios públicos necesarios y asegura las condiciones de regularidad, continuidad, generalidad, accesibilidad y mantenimiento para los usuarios. Los servicios públicos se brindan directamente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ind w:left="426"/>
        <w:jc w:val="both"/>
        <w:rPr>
          <w:rStyle w:val="C3"/>
          <w:rFonts w:ascii="Courier New" w:hAnsi="Courier New"/>
          <w:i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...///7.-</w:t>
      </w:r>
    </w:p>
    <w:p>
      <w:pPr>
        <w:pStyle w:val="P17"/>
        <w:rPr>
          <w:rStyle w:val="C3"/>
          <w:b w:val="1"/>
        </w:rPr>
      </w:pPr>
    </w:p>
    <w:p>
      <w:pPr>
        <w:ind w:left="426"/>
        <w:jc w:val="both"/>
        <w:rPr>
          <w:rStyle w:val="C3"/>
          <w:rFonts w:ascii="Courier New" w:hAnsi="Courier New"/>
          <w:i w:val="1"/>
        </w:rPr>
      </w:pPr>
      <w:r>
        <w:rPr>
          <w:rStyle w:val="C3"/>
          <w:rFonts w:ascii="Courier New" w:hAnsi="Courier New"/>
          <w:i w:val="1"/>
        </w:rPr>
        <w:t>por el Estado Municipal o por terceros según criterios de eficiencia y calidad, conforme lo reglamenten las ordenanzas”</w:t>
      </w:r>
      <w:r>
        <w:rPr>
          <w:rStyle w:val="C3"/>
          <w:rFonts w:ascii="Courier New" w:hAnsi="Courier New"/>
          <w:i w:val="1"/>
        </w:rPr>
        <w:t>;</w:t>
      </w:r>
    </w:p>
    <w:p>
      <w:pPr>
        <w:ind w:left="426"/>
        <w:jc w:val="both"/>
        <w:rPr>
          <w:rStyle w:val="C3"/>
          <w:rFonts w:ascii="Courier New" w:hAnsi="Courier New"/>
        </w:rPr>
      </w:pPr>
    </w:p>
    <w:p>
      <w:pPr>
        <w:ind w:left="426"/>
        <w:jc w:val="both"/>
        <w:rPr>
          <w:rStyle w:val="C3"/>
          <w:rFonts w:ascii="Courier New" w:hAnsi="Courier New"/>
          <w:i w:val="1"/>
        </w:rPr>
      </w:pPr>
      <w:r>
        <w:rPr>
          <w:rStyle w:val="C3"/>
          <w:rFonts w:ascii="Courier New" w:hAnsi="Courier New"/>
        </w:rPr>
        <w:t xml:space="preserve">Que, asimismo, el Artículo 62º del mismo cuerpo legal, dispone que el </w:t>
      </w:r>
      <w:r>
        <w:rPr>
          <w:rStyle w:val="C3"/>
          <w:rFonts w:ascii="Courier New" w:hAnsi="Courier New"/>
          <w:i w:val="1"/>
        </w:rPr>
        <w:t>otorgamiento de concesiones y demás contratos se hace mediante un procedimiento público de selección que garantice la imparcialidad de la Administración y la igualdad de oportunidades para los interesados, priorizando al momento de la adjudicación, en igualdad de condiciones, a los particulares, comercios, cooperativas y empresas locales. Por ordenanza se establece el procedimiento a seguir en los casos en que pueda recurrirse a la contratación en forma directa. Las contrataciones que no se ajusten a las pautas establecidas en este artículo son nulas”</w:t>
      </w:r>
      <w:r>
        <w:rPr>
          <w:rStyle w:val="C3"/>
          <w:rFonts w:ascii="Courier New" w:hAnsi="Courier New"/>
        </w:rPr>
        <w:t>;</w:t>
      </w:r>
    </w:p>
    <w:p>
      <w:pPr>
        <w:ind w:left="426"/>
        <w:jc w:val="both"/>
        <w:rPr>
          <w:rStyle w:val="C3"/>
          <w:rFonts w:ascii="Courier New" w:hAnsi="Courier New"/>
          <w:i w:val="1"/>
        </w:rPr>
      </w:pPr>
    </w:p>
    <w:p>
      <w:pPr>
        <w:pStyle w:val="P17"/>
        <w:ind w:left="426"/>
        <w:rPr>
          <w:rStyle w:val="C3"/>
          <w:b w:val="1"/>
        </w:rPr>
      </w:pPr>
      <w:r>
        <w:rPr>
          <w:rStyle w:val="C3"/>
          <w:b w:val="0"/>
        </w:rPr>
        <w:t xml:space="preserve">Que existen experiencias similares en nuestra </w:t>
      </w:r>
      <w:r>
        <w:rPr>
          <w:rStyle w:val="C3"/>
          <w:b w:val="0"/>
        </w:rPr>
        <w:t>P</w:t>
      </w:r>
      <w:r>
        <w:rPr>
          <w:rStyle w:val="C3"/>
          <w:b w:val="0"/>
        </w:rPr>
        <w:t>rovincia que demuestran que, no sólo puede asumirse la prestación del servicio, sino que, hacerlo desde un nuevo paradigma, donde el lucro no es lo esencial, permite que el servicio se extienda, be</w:t>
      </w:r>
      <w:r>
        <w:rPr>
          <w:rStyle w:val="C3"/>
          <w:b w:val="0"/>
        </w:rPr>
        <w:t>neficiando a muchos más vecino;</w:t>
      </w:r>
    </w:p>
    <w:p>
      <w:pPr>
        <w:pStyle w:val="P17"/>
        <w:ind w:left="426"/>
        <w:rPr>
          <w:rStyle w:val="C3"/>
          <w:b w:val="1"/>
        </w:rPr>
      </w:pPr>
    </w:p>
    <w:p>
      <w:pPr>
        <w:pStyle w:val="P17"/>
        <w:ind w:left="426"/>
        <w:rPr>
          <w:rStyle w:val="C3"/>
          <w:b w:val="1"/>
        </w:rPr>
      </w:pPr>
      <w:r>
        <w:rPr>
          <w:rStyle w:val="C3"/>
          <w:b w:val="0"/>
        </w:rPr>
        <w:t>Que, a la ya mencionada sociedad anónima de Carlos Paz, cabe sumar la municipalización del servicio en San Francisco, que si bien difiere en su modalidad, ambas implican en esencia la reasunción del servicio por parte del estado, de manera de garantizar su eficiencia, calidad y el acceso al mismo de todos los ciudadanos</w:t>
      </w:r>
      <w:r>
        <w:rPr>
          <w:rStyle w:val="C3"/>
          <w:b w:val="0"/>
        </w:rPr>
        <w:t>;</w:t>
      </w:r>
    </w:p>
    <w:p>
      <w:pPr>
        <w:pStyle w:val="P17"/>
        <w:ind w:left="426"/>
        <w:rPr>
          <w:rStyle w:val="C3"/>
          <w:b w:val="1"/>
        </w:rPr>
      </w:pPr>
    </w:p>
    <w:p>
      <w:pPr>
        <w:pStyle w:val="P17"/>
        <w:ind w:left="426"/>
        <w:rPr>
          <w:rStyle w:val="C3"/>
          <w:b w:val="1"/>
        </w:rPr>
      </w:pPr>
      <w:r>
        <w:rPr>
          <w:rStyle w:val="C3"/>
          <w:b w:val="0"/>
        </w:rPr>
        <w:t>Que la creación de una sociedad anónima con el objeto de asumir la prestación del servicio, es factible, no sólo desde el punto de vista legal, sino también desde el político</w:t>
      </w:r>
      <w:r>
        <w:rPr>
          <w:rStyle w:val="C3"/>
          <w:b w:val="0"/>
        </w:rPr>
        <w:t>;</w:t>
      </w:r>
      <w:r>
        <w:rPr>
          <w:rStyle w:val="C3"/>
          <w:b w:val="0"/>
        </w:rPr>
        <w:t xml:space="preserve"> </w:t>
      </w:r>
    </w:p>
    <w:p>
      <w:pPr>
        <w:pStyle w:val="P17"/>
        <w:jc w:val="right"/>
        <w:rPr>
          <w:rStyle w:val="C3"/>
          <w:b w:val="1"/>
        </w:rPr>
      </w:pPr>
      <w:r>
        <w:rPr>
          <w:rStyle w:val="C3"/>
          <w:b w:val="0"/>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esta Ordenanza guarda coherencia con el marco ideológico de un Estado Municipal que toma la decisión de reasumir plenamente sus facultades y responsabilidades como concedente, gestor, planificador, prestador y organismo de control de los servicios públicos, con vistas al bien común;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aprobado por Unanimidad, en Sesión Ordinaria del día 06 de Octubre de 2010;</w:t>
      </w:r>
    </w:p>
    <w:p>
      <w:pPr>
        <w:ind w:left="426"/>
        <w:jc w:val="right"/>
        <w:rPr>
          <w:rStyle w:val="C3"/>
          <w:rFonts w:ascii="Courier New" w:hAnsi="Courier New"/>
        </w:rPr>
      </w:pPr>
    </w:p>
    <w:p>
      <w:pPr>
        <w:pStyle w:val="P1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CRÉASE LA EMPRESA MUNICIPAL DE ECONOMÍA MIXTA ALTA GRACIA GAS, bajo la figura de una SOCIEDAD ANÓNIMA </w:t>
      </w:r>
      <w:r>
        <w:rPr>
          <w:rStyle w:val="C3"/>
          <w:rFonts w:ascii="Courier New" w:hAnsi="Courier New"/>
        </w:rPr>
        <w:t>(Alta Gracia Gas S.A),</w:t>
      </w:r>
      <w:r>
        <w:rPr>
          <w:rStyle w:val="C3"/>
          <w:rFonts w:ascii="Courier New" w:hAnsi="Courier New"/>
          <w:b w:val="1"/>
        </w:rPr>
        <w:t xml:space="preserve"> </w:t>
      </w:r>
      <w:r>
        <w:rPr>
          <w:rStyle w:val="C3"/>
          <w:rFonts w:ascii="Courier New" w:hAnsi="Courier New"/>
        </w:rPr>
        <w:t>con un CINCUENTA POR CIENTO (50%) de participación Estatal y un CINCUENTA POR CIENTO (50%) de participación de una Cooperativa Integral de Provisión de Servicios Públicos y Asistenciales, en cuyo objeto incluya la prestación del servicio de gas; para la prestación de los servicios de explotación, operación, mantenimiento, comercialización y distribución del sistema comprendido por las estaciones de regulación y medición, ramales de aproximación y redes de distribución de gas natural de la Ciudad.-</w:t>
      </w:r>
    </w:p>
    <w:p>
      <w:pPr>
        <w:ind w:firstLine="708"/>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constituir la sociedad anónima ALTA GRACIA GAS S.A, estando facultado para ello a desarrollar las tareas y suscribir la documentación necesaria a los fines de formalizar la existencia y aprobación de Alta Gracia Gas S.A.-</w:t>
      </w:r>
    </w:p>
    <w:p>
      <w:pPr>
        <w:jc w:val="right"/>
        <w:rPr>
          <w:rStyle w:val="C3"/>
          <w:rFonts w:ascii="Courier New" w:hAnsi="Courier New"/>
        </w:rPr>
      </w:pPr>
      <w:r>
        <w:rPr>
          <w:rStyle w:val="C3"/>
          <w:rFonts w:ascii="Courier New" w:hAnsi="Courier New"/>
        </w:rPr>
        <w:t>...///</w:t>
      </w:r>
    </w:p>
    <w:p>
      <w:pPr>
        <w:pStyle w:val="P16"/>
        <w:rPr>
          <w:rStyle w:val="C3"/>
          <w:rFonts w:ascii="Courier New" w:hAnsi="Courier New"/>
          <w:sz w:val="24"/>
        </w:rPr>
      </w:pPr>
    </w:p>
    <w:p>
      <w:pPr>
        <w:pStyle w:val="P16"/>
        <w:rPr>
          <w:rStyle w:val="C3"/>
          <w:rFonts w:ascii="Courier New" w:hAnsi="Courier New"/>
          <w:sz w:val="24"/>
        </w:rPr>
      </w:pPr>
    </w:p>
    <w:p>
      <w:pPr>
        <w:pStyle w:val="P16"/>
        <w:rPr>
          <w:rStyle w:val="C3"/>
          <w:rFonts w:ascii="Courier New" w:hAnsi="Courier New"/>
          <w:sz w:val="24"/>
        </w:rPr>
      </w:pPr>
    </w:p>
    <w:p>
      <w:pPr>
        <w:pStyle w:val="P16"/>
        <w:rPr>
          <w:rStyle w:val="C3"/>
          <w:rFonts w:ascii="Courier New" w:hAnsi="Courier New"/>
          <w:sz w:val="24"/>
        </w:rPr>
      </w:pPr>
    </w:p>
    <w:p>
      <w:pPr>
        <w:pStyle w:val="P16"/>
        <w:rPr>
          <w:rStyle w:val="C3"/>
          <w:rFonts w:ascii="Courier New" w:hAnsi="Courier New"/>
          <w:sz w:val="24"/>
        </w:rPr>
      </w:pPr>
    </w:p>
    <w:p>
      <w:pPr>
        <w:pStyle w:val="P16"/>
        <w:rPr>
          <w:rStyle w:val="C3"/>
          <w:rFonts w:ascii="Courier New" w:hAnsi="Courier New"/>
          <w:sz w:val="24"/>
        </w:rPr>
      </w:pPr>
    </w:p>
    <w:p>
      <w:pPr>
        <w:pStyle w:val="P16"/>
        <w:rPr>
          <w:rStyle w:val="C3"/>
          <w:rFonts w:ascii="Courier New" w:hAnsi="Courier New"/>
          <w:sz w:val="24"/>
        </w:rPr>
      </w:pPr>
    </w:p>
    <w:p>
      <w:pPr>
        <w:pStyle w:val="P16"/>
        <w:rPr>
          <w:rStyle w:val="C3"/>
          <w:rFonts w:ascii="Courier New" w:hAnsi="Courier New"/>
          <w:sz w:val="24"/>
        </w:rPr>
      </w:pPr>
    </w:p>
    <w:p>
      <w:pPr>
        <w:pStyle w:val="P16"/>
        <w:rPr>
          <w:rStyle w:val="C3"/>
          <w:rFonts w:ascii="Courier New" w:hAnsi="Courier New"/>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...///9.-</w:t>
      </w:r>
    </w:p>
    <w:p>
      <w:pPr>
        <w:pStyle w:val="P16"/>
        <w:rPr>
          <w:rStyle w:val="C3"/>
          <w:rFonts w:ascii="Courier New" w:hAnsi="Courier New"/>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Art.3</w:t>
      </w:r>
      <w:r>
        <w:rPr>
          <w:rStyle w:val="C3"/>
          <w:rFonts w:ascii="Courier New" w:hAnsi="Courier New"/>
          <w:sz w:val="24"/>
        </w:rPr>
        <w:t xml:space="preserve">: APRUÉBASE </w:t>
      </w:r>
      <w:r>
        <w:rPr>
          <w:rStyle w:val="C3"/>
          <w:rFonts w:ascii="Courier New" w:hAnsi="Courier New"/>
          <w:b w:val="0"/>
          <w:sz w:val="24"/>
        </w:rPr>
        <w:t>el Estatuto de ALTA GRACIA GAS S.A, el cual se adjunta como Anexo I. Ante cualquier exigencia de modificación por parte de la Inspección de Personas Jurídicas de la Provincia, el tema será tratado en la primera sesión ordinaria o se convocará a sesión extraordinaria, de ser necesario.</w:t>
      </w:r>
      <w:r>
        <w:rPr>
          <w:rStyle w:val="C3"/>
          <w:rFonts w:ascii="Courier New" w:hAnsi="Courier New"/>
          <w:b w:val="0"/>
          <w:sz w:val="24"/>
        </w:rPr>
        <w:t>-</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Municipalidad de Alta Gracia, titular de SEISCIENTAS (600) acciones ordinarias nominativas no endosables clase A, regirá el ejercicio de los derechos y prerrogativas establecidas en los artículos 7º, 14º, 17º y 19º del Estatuto, en su calidad de tenedor de acciones clase A, para lo cual se establecen las siguientes pautas:</w:t>
      </w:r>
    </w:p>
    <w:p>
      <w:pPr>
        <w:numPr>
          <w:ilvl w:val="0"/>
          <w:numId w:val="8"/>
        </w:numPr>
        <w:jc w:val="both"/>
        <w:rPr>
          <w:rStyle w:val="C3"/>
          <w:rFonts w:ascii="Courier New" w:hAnsi="Courier New"/>
        </w:rPr>
      </w:pPr>
      <w:r>
        <w:rPr>
          <w:rStyle w:val="C3"/>
          <w:rFonts w:ascii="Courier New" w:hAnsi="Courier New"/>
        </w:rPr>
        <w:t>Directores: su designación y remoción (Art.7°); y el reemplazo de los mismos (Art.14°), es facultad del Departamento Ejecutivo Municipal, con acuerdo del Honorable Concejo Deliberante.-</w:t>
      </w:r>
    </w:p>
    <w:p>
      <w:pPr>
        <w:numPr>
          <w:ilvl w:val="0"/>
          <w:numId w:val="8"/>
        </w:numPr>
        <w:jc w:val="both"/>
        <w:rPr>
          <w:rStyle w:val="C3"/>
          <w:rFonts w:ascii="Courier New" w:hAnsi="Courier New"/>
        </w:rPr>
      </w:pPr>
      <w:r>
        <w:rPr>
          <w:rStyle w:val="C3"/>
          <w:rFonts w:ascii="Courier New" w:hAnsi="Courier New"/>
        </w:rPr>
        <w:t xml:space="preserve">Síndicos: su designación (Art.17°) será a propuesta del Departamento Ejecutivo previo acuerdo de las dos terceras partes del total de miembros del  Concejo Deliberante. Su remoción y reemplazo serán dispuestos por idéntico proceso que prevé su designación.- </w:t>
      </w:r>
    </w:p>
    <w:p>
      <w:pPr>
        <w:numPr>
          <w:ilvl w:val="0"/>
          <w:numId w:val="8"/>
        </w:numPr>
        <w:jc w:val="both"/>
        <w:rPr>
          <w:rStyle w:val="C3"/>
          <w:rFonts w:ascii="Courier New" w:hAnsi="Courier New"/>
        </w:rPr>
      </w:pPr>
      <w:r>
        <w:rPr>
          <w:rStyle w:val="C3"/>
          <w:rFonts w:ascii="Courier New" w:hAnsi="Courier New"/>
        </w:rPr>
        <w:t xml:space="preserve">Liquidador/es: su designación (Art.19°), se realizará a propuesta del Departamento Ejecutivo, previo acuerdo de las dos terceras partes del total de miembros del  Concejo Deliberante.-</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INDEPENDIENTEMENTE</w:t>
      </w:r>
      <w:r>
        <w:rPr>
          <w:rStyle w:val="C3"/>
          <w:rFonts w:ascii="Courier New" w:hAnsi="Courier New"/>
        </w:rPr>
        <w:t xml:space="preserve"> del control que lleve adelante la Sindicatura de la Sociedad, los Directores y Síndicos designados por el Estado Municipal, tienen la obligación elevar  un  informe  semestral ante el Honorable Concejo </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...///10.-</w:t>
      </w:r>
    </w:p>
    <w:p>
      <w:pPr>
        <w:ind w:hanging="426"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Deliberante y el Tribunal de Cuentas Municipal y/o cada vez que estos cuerpos lo requieran, detallando las actividades y acciones llevadas a cabo, y la planificación futura de la Sociedad.-</w:t>
      </w:r>
    </w:p>
    <w:p>
      <w:pPr>
        <w:jc w:val="both"/>
        <w:rPr>
          <w:rStyle w:val="C3"/>
          <w:rFonts w:ascii="Courier New" w:hAnsi="Courier New"/>
          <w:b w:val="1"/>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ALTA GRACIA GAS S</w:t>
      </w:r>
      <w:r>
        <w:rPr>
          <w:rStyle w:val="C3"/>
          <w:rFonts w:ascii="Courier New" w:hAnsi="Courier New"/>
          <w:b w:val="1"/>
        </w:rPr>
        <w:t>.</w:t>
      </w:r>
      <w:r>
        <w:rPr>
          <w:rStyle w:val="C3"/>
          <w:rFonts w:ascii="Courier New" w:hAnsi="Courier New"/>
          <w:b w:val="1"/>
        </w:rPr>
        <w:t>A</w:t>
      </w:r>
      <w:r>
        <w:rPr>
          <w:rStyle w:val="C3"/>
          <w:rFonts w:ascii="Courier New" w:hAnsi="Courier New"/>
          <w:b w:val="1"/>
        </w:rPr>
        <w:t xml:space="preserve">, </w:t>
      </w:r>
      <w:r>
        <w:rPr>
          <w:rStyle w:val="C3"/>
          <w:rFonts w:ascii="Courier New" w:hAnsi="Courier New"/>
        </w:rPr>
        <w:t>como concesionaria de un servicio público, se encontrará sujeta al control del EMSeP, conforme Ordenanza Nº 8671. -</w:t>
      </w:r>
    </w:p>
    <w:p>
      <w:pPr>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w:t>
      </w:r>
      <w:r>
        <w:rPr>
          <w:rStyle w:val="C3"/>
          <w:rFonts w:ascii="Courier New" w:hAnsi="Courier New"/>
          <w:b w:val="1"/>
          <w:u w:val="single"/>
        </w:rPr>
        <w:t>t.</w:t>
      </w:r>
      <w:r>
        <w:rPr>
          <w:rStyle w:val="C3"/>
          <w:rFonts w:ascii="Courier New" w:hAnsi="Courier New"/>
          <w:b w:val="1"/>
          <w:u w:val="single"/>
        </w:rPr>
        <w:t>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LAS</w:t>
      </w:r>
      <w:r>
        <w:rPr>
          <w:rStyle w:val="C3"/>
          <w:rFonts w:ascii="Courier New" w:hAnsi="Courier New"/>
        </w:rPr>
        <w:t xml:space="preserve"> utilidades que obtenga Alta Gracia Gas SA, deberán destinarse: un OCHENTA POR CIENTO (80%) a obras destinadas al mejoramiento o extensión del servicio de la cual será concesionaria; un VEINTE POR CIENTO (20%) a educación. Este último porcentaje destinado a educación debe ser aprobado por el Honorable Concejo Deliberante.-</w:t>
      </w:r>
    </w:p>
    <w:p>
      <w:pPr>
        <w:jc w:val="both"/>
        <w:rPr>
          <w:rStyle w:val="C3"/>
          <w:rFonts w:ascii="Courier New" w:hAnsi="Courier New"/>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SEIS DÍAS DEL MES DE OCTUBRE DEL AÑO DOS MIL DIEZ.- </w:t>
      </w:r>
    </w:p>
    <w:p>
      <w:pPr>
        <w:pStyle w:val="P17"/>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...///11.-</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sz w:val="144"/>
        </w:rPr>
      </w:pPr>
      <w:r>
        <w:rPr>
          <w:rStyle w:val="C3"/>
          <w:rFonts w:ascii="Courier New" w:hAnsi="Courier New"/>
          <w:b w:val="1"/>
          <w:sz w:val="144"/>
        </w:rPr>
        <w:t>ANEXO</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rPr>
          <w:rStyle w:val="C3"/>
          <w:rFonts w:ascii="Courier New" w:hAnsi="Courier New"/>
          <w:b w:val="1"/>
          <w:u w:val="single"/>
        </w:rPr>
      </w:pPr>
    </w:p>
    <w:p>
      <w:pPr>
        <w:rPr>
          <w:rStyle w:val="C3"/>
          <w:rFonts w:ascii="Courier New" w:hAnsi="Courier New"/>
          <w:b w:val="1"/>
          <w:u w:val="single"/>
        </w:rPr>
      </w:pPr>
    </w:p>
    <w:p>
      <w:pPr>
        <w:rPr>
          <w:rStyle w:val="C3"/>
          <w:rFonts w:ascii="Courier New" w:hAnsi="Courier New"/>
          <w:b w:val="1"/>
          <w:u w:val="single"/>
        </w:rPr>
      </w:pPr>
    </w:p>
    <w:p>
      <w:pPr>
        <w:rPr>
          <w:rStyle w:val="C3"/>
          <w:rFonts w:ascii="Courier New" w:hAnsi="Courier New"/>
          <w:b w:val="1"/>
          <w:u w:val="single"/>
        </w:rPr>
      </w:pPr>
    </w:p>
    <w:p>
      <w:pPr>
        <w:rPr>
          <w:rStyle w:val="C3"/>
          <w:rFonts w:ascii="Courier New" w:hAnsi="Courier New"/>
          <w:b w:val="1"/>
          <w:u w:val="single"/>
        </w:rPr>
      </w:pPr>
    </w:p>
    <w:p>
      <w:pPr>
        <w:rPr>
          <w:rStyle w:val="C3"/>
          <w:rFonts w:ascii="Courier New" w:hAnsi="Courier New"/>
          <w:b w:val="1"/>
          <w:u w:val="single"/>
        </w:rPr>
      </w:pPr>
    </w:p>
    <w:p>
      <w:pPr>
        <w:rPr>
          <w:rStyle w:val="C3"/>
          <w:rFonts w:ascii="Courier New" w:hAnsi="Courier New"/>
          <w:b w:val="1"/>
          <w:u w:val="single"/>
        </w:rPr>
      </w:pPr>
    </w:p>
    <w:p>
      <w:pPr>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...///12.-</w:t>
      </w:r>
    </w:p>
    <w:p>
      <w:pPr>
        <w:rPr>
          <w:rStyle w:val="C3"/>
          <w:rFonts w:ascii="Courier New" w:hAnsi="Courier New"/>
          <w:b w:val="1"/>
          <w:u w:val="single"/>
        </w:rPr>
      </w:pPr>
    </w:p>
    <w:p>
      <w:pPr>
        <w:jc w:val="center"/>
        <w:rPr>
          <w:rStyle w:val="C3"/>
          <w:rFonts w:ascii="Courier New" w:hAnsi="Courier New"/>
          <w:b w:val="1"/>
        </w:rPr>
      </w:pPr>
      <w:r>
        <w:rPr>
          <w:rStyle w:val="C3"/>
          <w:rFonts w:ascii="Courier New" w:hAnsi="Courier New"/>
          <w:b w:val="1"/>
        </w:rPr>
        <w:t xml:space="preserve"> </w:t>
      </w:r>
      <w:r>
        <w:rPr>
          <w:rStyle w:val="C3"/>
          <w:rFonts w:ascii="Courier New" w:hAnsi="Courier New"/>
          <w:b w:val="1"/>
        </w:rPr>
        <w:t>ANEXO I:</w:t>
      </w:r>
    </w:p>
    <w:p>
      <w:pPr>
        <w:rPr>
          <w:rStyle w:val="C3"/>
          <w:rFonts w:ascii="Courier New" w:hAnsi="Courier New"/>
          <w:b w:val="1"/>
        </w:rPr>
      </w:pPr>
    </w:p>
    <w:p>
      <w:pPr>
        <w:pStyle w:val="P3"/>
        <w:rPr>
          <w:rStyle w:val="C3"/>
          <w:rFonts w:ascii="Courier New" w:hAnsi="Courier New"/>
        </w:rPr>
      </w:pPr>
      <w:r>
        <w:rPr>
          <w:rStyle w:val="C3"/>
          <w:rFonts w:ascii="Courier New" w:hAnsi="Courier New"/>
        </w:rPr>
        <w:t xml:space="preserve"> ESTATUTO</w:t>
      </w:r>
    </w:p>
    <w:p>
      <w:pPr>
        <w:pStyle w:val="P3"/>
        <w:rPr>
          <w:rStyle w:val="C3"/>
          <w:rFonts w:ascii="Courier New" w:hAnsi="Courier New"/>
        </w:rPr>
      </w:pPr>
      <w:r>
        <w:rPr>
          <w:rStyle w:val="C3"/>
          <w:rFonts w:ascii="Courier New" w:hAnsi="Courier New"/>
        </w:rPr>
        <w:t xml:space="preserve"> ALTA GRACIA GAS SOCIEDAD ANÓNIMA </w:t>
      </w:r>
    </w:p>
    <w:p>
      <w:pPr>
        <w:jc w:val="center"/>
        <w:rPr>
          <w:rStyle w:val="C3"/>
          <w:rFonts w:ascii="Courier New" w:hAnsi="Courier New"/>
        </w:rPr>
      </w:pPr>
    </w:p>
    <w:p>
      <w:pPr>
        <w:jc w:val="both"/>
        <w:rPr>
          <w:rStyle w:val="C3"/>
          <w:rFonts w:ascii="Courier New" w:hAnsi="Courier New"/>
        </w:rPr>
      </w:pPr>
    </w:p>
    <w:p>
      <w:pPr>
        <w:pStyle w:val="P4"/>
      </w:pPr>
      <w:r>
        <w:t>CAPITULO I</w:t>
      </w:r>
    </w:p>
    <w:p>
      <w:pPr>
        <w:pStyle w:val="P17"/>
      </w:pPr>
      <w:r>
        <w:br w:type="textWrapping"/>
        <w:t>DENOMINACIÓN - DOMICILIO – PLAZO</w:t>
      </w:r>
    </w:p>
    <w:p>
      <w:pPr>
        <w:jc w:val="both"/>
        <w:rPr>
          <w:rStyle w:val="C3"/>
          <w:rFonts w:ascii="Courier New" w:hAnsi="Courier New"/>
        </w:rPr>
      </w:pPr>
      <w:r>
        <w:rPr>
          <w:rStyle w:val="C3"/>
          <w:rFonts w:ascii="Courier New" w:hAnsi="Courier New"/>
          <w:b w:val="1"/>
        </w:rPr>
        <w:t>Artículo 1º</w:t>
      </w:r>
      <w:r>
        <w:rPr>
          <w:rStyle w:val="C3"/>
          <w:rFonts w:ascii="Courier New" w:hAnsi="Courier New"/>
          <w:b w:val="1"/>
        </w:rPr>
        <w:t>:</w:t>
      </w:r>
      <w:r>
        <w:rPr>
          <w:rStyle w:val="C3"/>
          <w:rFonts w:ascii="Courier New" w:hAnsi="Courier New"/>
        </w:rPr>
        <w:t xml:space="preserve"> La Sociedad se denomina ALTA GRACIA GAS SOCIEDAD ANÓNIMA (Alta Gracia Gas S.A.) y tiene su domicilio legal en la Ciudad de Alta Gracia, Provincia de Córdoba, República Argentina.-</w:t>
      </w:r>
    </w:p>
    <w:p>
      <w:pPr>
        <w:jc w:val="both"/>
        <w:rPr>
          <w:rStyle w:val="C3"/>
          <w:rFonts w:ascii="Courier New" w:hAnsi="Courier New"/>
        </w:rPr>
      </w:pPr>
      <w:r>
        <w:rPr>
          <w:rStyle w:val="C3"/>
          <w:rFonts w:ascii="Courier New" w:hAnsi="Courier New"/>
        </w:rPr>
        <w:br w:type="textWrapping"/>
      </w:r>
      <w:r>
        <w:rPr>
          <w:rStyle w:val="C3"/>
          <w:rFonts w:ascii="Courier New" w:hAnsi="Courier New"/>
          <w:b w:val="1"/>
        </w:rPr>
        <w:t>Artículo 2º</w:t>
      </w:r>
      <w:r>
        <w:rPr>
          <w:rStyle w:val="C3"/>
          <w:rFonts w:ascii="Courier New" w:hAnsi="Courier New"/>
          <w:b w:val="1"/>
        </w:rPr>
        <w:t>:</w:t>
      </w:r>
      <w:r>
        <w:rPr>
          <w:rStyle w:val="C3"/>
          <w:rFonts w:ascii="Courier New" w:hAnsi="Courier New"/>
        </w:rPr>
        <w:t xml:space="preserve"> La duración de la Sociedad se establece en QUINCE (15) años, contados desde la fecha de inscripción del presente en el Registro Público de Comercio, con opción a una prórroga de DIEZ (10) años más, si cuenta con el acuerdo de los socios y se resolviere su inscripción antes del vencimiento del plazo, conforme el Artículo 95º de la Ley Nº 19.550.</w:t>
      </w:r>
    </w:p>
    <w:p>
      <w:pPr>
        <w:jc w:val="both"/>
        <w:rPr>
          <w:rStyle w:val="C3"/>
          <w:rFonts w:ascii="Courier New" w:hAnsi="Courier New"/>
        </w:rPr>
      </w:pPr>
      <w:r>
        <w:rPr>
          <w:rStyle w:val="C3"/>
          <w:rFonts w:ascii="Courier New" w:hAnsi="Courier New"/>
        </w:rPr>
        <w:br w:type="textWrapping"/>
      </w:r>
      <w:r>
        <w:rPr>
          <w:rStyle w:val="C3"/>
          <w:rFonts w:ascii="Courier New" w:hAnsi="Courier New"/>
          <w:b w:val="1"/>
        </w:rPr>
        <w:t>Artículo 3º</w:t>
      </w:r>
      <w:r>
        <w:rPr>
          <w:rStyle w:val="C3"/>
          <w:rFonts w:ascii="Courier New" w:hAnsi="Courier New"/>
          <w:b w:val="1"/>
        </w:rPr>
        <w:t>:</w:t>
      </w:r>
      <w:r>
        <w:rPr>
          <w:rStyle w:val="C3"/>
          <w:rFonts w:ascii="Courier New" w:hAnsi="Courier New"/>
        </w:rPr>
        <w:t xml:space="preserve"> Esta Sociedad podrá ser integrada en su parte privada, exclusivamente por entidades cooperativas de provisión de servicios.</w:t>
      </w:r>
    </w:p>
    <w:p>
      <w:pPr>
        <w:jc w:val="center"/>
        <w:rPr>
          <w:rStyle w:val="C3"/>
          <w:rFonts w:ascii="Courier New" w:hAnsi="Courier New"/>
          <w:b w:val="1"/>
        </w:rPr>
      </w:pPr>
      <w:r>
        <w:rPr>
          <w:rStyle w:val="C3"/>
          <w:rFonts w:ascii="Courier New" w:hAnsi="Courier New"/>
        </w:rPr>
        <w:br w:type="textWrapping"/>
      </w:r>
      <w:r>
        <w:rPr>
          <w:rStyle w:val="C3"/>
          <w:rFonts w:ascii="Courier New" w:hAnsi="Courier New"/>
          <w:b w:val="1"/>
        </w:rPr>
        <w:t>CAPITULO II</w:t>
      </w:r>
    </w:p>
    <w:p>
      <w:pPr>
        <w:jc w:val="both"/>
        <w:rPr>
          <w:rStyle w:val="C3"/>
          <w:rFonts w:ascii="Courier New" w:hAnsi="Courier New"/>
          <w:b w:val="1"/>
        </w:rPr>
      </w:pPr>
      <w:r>
        <w:rPr>
          <w:rStyle w:val="C3"/>
          <w:rFonts w:ascii="Courier New" w:hAnsi="Courier New"/>
        </w:rPr>
        <w:br w:type="textWrapping"/>
      </w:r>
      <w:r>
        <w:rPr>
          <w:rStyle w:val="C3"/>
          <w:rFonts w:ascii="Courier New" w:hAnsi="Courier New"/>
          <w:b w:val="1"/>
        </w:rPr>
        <w:t>OBJETO SOCIAL</w:t>
      </w:r>
    </w:p>
    <w:p>
      <w:pPr>
        <w:jc w:val="both"/>
        <w:rPr>
          <w:rStyle w:val="C3"/>
          <w:rFonts w:ascii="Courier New" w:hAnsi="Courier New"/>
        </w:rPr>
      </w:pPr>
      <w:r>
        <w:rPr>
          <w:rStyle w:val="C3"/>
          <w:rFonts w:ascii="Courier New" w:hAnsi="Courier New"/>
          <w:b w:val="1"/>
        </w:rPr>
        <w:t>Artículo 4º</w:t>
      </w:r>
      <w:r>
        <w:rPr>
          <w:rStyle w:val="C3"/>
          <w:rFonts w:ascii="Courier New" w:hAnsi="Courier New"/>
          <w:b w:val="1"/>
        </w:rPr>
        <w:t>:</w:t>
      </w:r>
      <w:r>
        <w:rPr>
          <w:rStyle w:val="C3"/>
          <w:rFonts w:ascii="Courier New" w:hAnsi="Courier New"/>
        </w:rPr>
        <w:t xml:space="preserve"> La Sociedad tendrá por objeto:</w:t>
      </w:r>
    </w:p>
    <w:p>
      <w:pPr>
        <w:numPr>
          <w:ilvl w:val="0"/>
          <w:numId w:val="9"/>
        </w:numPr>
        <w:jc w:val="both"/>
        <w:rPr>
          <w:rStyle w:val="C3"/>
          <w:rFonts w:ascii="Courier New" w:hAnsi="Courier New"/>
        </w:rPr>
      </w:pPr>
      <w:r>
        <w:rPr>
          <w:rStyle w:val="C3"/>
          <w:rFonts w:ascii="Courier New" w:hAnsi="Courier New"/>
        </w:rPr>
        <w:t>Prestar el servicio de gas natural en el área actualmente servida al fin de la concesión cuyo vencimiento operó el día 09 de Junio de 2010.</w:t>
      </w:r>
    </w:p>
    <w:p>
      <w:pPr>
        <w:numPr>
          <w:ilvl w:val="0"/>
          <w:numId w:val="9"/>
        </w:numPr>
        <w:jc w:val="both"/>
        <w:rPr>
          <w:rStyle w:val="C3"/>
          <w:rFonts w:ascii="Courier New" w:hAnsi="Courier New"/>
        </w:rPr>
      </w:pPr>
      <w:r>
        <w:rPr>
          <w:rStyle w:val="C3"/>
          <w:rFonts w:ascii="Courier New" w:hAnsi="Courier New"/>
        </w:rPr>
        <w:t xml:space="preserve">Prestar el Servicio de Gas Natural en el Área de ampliaciones  en un todo de acuerdo a lo establecido en el Artículo 4º de la Ley Nº 24076.</w:t>
      </w:r>
    </w:p>
    <w:p>
      <w:pPr>
        <w:ind w:left="360"/>
        <w:jc w:val="right"/>
        <w:rPr>
          <w:rStyle w:val="C3"/>
          <w:rFonts w:ascii="Courier New" w:hAnsi="Courier New"/>
        </w:rPr>
      </w:pPr>
      <w:r>
        <w:rPr>
          <w:rStyle w:val="C3"/>
          <w:rFonts w:ascii="Courier New" w:hAnsi="Courier New"/>
        </w:rPr>
        <w:t>...///</w:t>
      </w: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ind w:left="360"/>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...///13.-</w:t>
      </w:r>
    </w:p>
    <w:p>
      <w:pPr>
        <w:ind w:left="360"/>
        <w:jc w:val="both"/>
        <w:rPr>
          <w:rStyle w:val="C3"/>
          <w:rFonts w:ascii="Courier New" w:hAnsi="Courier New"/>
        </w:rPr>
      </w:pPr>
    </w:p>
    <w:p>
      <w:pPr>
        <w:numPr>
          <w:ilvl w:val="0"/>
          <w:numId w:val="9"/>
        </w:numPr>
        <w:jc w:val="both"/>
        <w:rPr>
          <w:rStyle w:val="C3"/>
          <w:rFonts w:ascii="Courier New" w:hAnsi="Courier New"/>
        </w:rPr>
      </w:pPr>
      <w:r>
        <w:rPr>
          <w:rStyle w:val="C3"/>
          <w:rFonts w:ascii="Courier New" w:hAnsi="Courier New"/>
        </w:rPr>
        <w:t>Ejecutar las obras necesarias para la prestación del servicio de gas natural en el área servida actualmente y en el área de ampliaciones.</w:t>
      </w:r>
    </w:p>
    <w:p>
      <w:pPr>
        <w:numPr>
          <w:ilvl w:val="0"/>
          <w:numId w:val="9"/>
        </w:numPr>
        <w:jc w:val="both"/>
        <w:rPr>
          <w:rStyle w:val="C3"/>
          <w:rFonts w:ascii="Courier New" w:hAnsi="Courier New"/>
        </w:rPr>
      </w:pPr>
      <w:r>
        <w:rPr>
          <w:rStyle w:val="C3"/>
          <w:rFonts w:ascii="Courier New" w:hAnsi="Courier New"/>
        </w:rPr>
        <w:t>Ejecutar las obras y prestar el servicio de gas natural en otros Municipio y Comunas.</w:t>
      </w:r>
    </w:p>
    <w:p>
      <w:pPr>
        <w:numPr>
          <w:ilvl w:val="0"/>
          <w:numId w:val="9"/>
        </w:numPr>
        <w:jc w:val="both"/>
        <w:rPr>
          <w:rStyle w:val="C3"/>
          <w:rFonts w:ascii="Courier New" w:hAnsi="Courier New"/>
        </w:rPr>
      </w:pPr>
      <w:r>
        <w:rPr>
          <w:rStyle w:val="C3"/>
          <w:rFonts w:ascii="Courier New" w:hAnsi="Courier New"/>
        </w:rPr>
        <w:t xml:space="preserve">Ejecutar planes, programas y proyectos, elaborados conforme a las directivas que imparta el Departamento Ejecutivo Municipal, de acuerdo al Plan de obras aprobado por el Ente Municipal de Servicios Públicos,  pudiendo explotar concesiones, subdistribución y comercialización de gas.</w:t>
      </w:r>
    </w:p>
    <w:p>
      <w:pPr>
        <w:numPr>
          <w:ilvl w:val="0"/>
          <w:numId w:val="9"/>
        </w:numPr>
        <w:jc w:val="both"/>
        <w:rPr>
          <w:rStyle w:val="C3"/>
          <w:rFonts w:ascii="Courier New" w:hAnsi="Courier New"/>
        </w:rPr>
      </w:pPr>
      <w:r>
        <w:rPr>
          <w:rStyle w:val="C3"/>
          <w:rFonts w:ascii="Courier New" w:hAnsi="Courier New"/>
        </w:rPr>
        <w:t>Celebrar Contratos con personas físicas o jurídicas del Estado Nacional, Provincial, Municipal, Entidades Públicas Estatales, Públicas no Estatales o Privadas de la República Argentina, que se relacionen con la creación, puesta en funcionamiento y desarrollo del servicio público de gas natural.</w:t>
      </w:r>
    </w:p>
    <w:p>
      <w:pPr>
        <w:numPr>
          <w:ilvl w:val="0"/>
          <w:numId w:val="9"/>
        </w:numPr>
        <w:jc w:val="both"/>
        <w:rPr>
          <w:rStyle w:val="C3"/>
          <w:rFonts w:ascii="Courier New" w:hAnsi="Courier New"/>
        </w:rPr>
      </w:pPr>
      <w:r>
        <w:rPr>
          <w:rStyle w:val="C3"/>
          <w:rFonts w:ascii="Courier New" w:hAnsi="Courier New"/>
        </w:rPr>
        <w:t xml:space="preserve">Promocionar, organizar, comercializar, administrar, estimular y controlar el desarrollo de la infraestructura  de gas natural de Alta Gracia y otras jurisdicciones.</w:t>
      </w:r>
    </w:p>
    <w:p>
      <w:pPr>
        <w:numPr>
          <w:ilvl w:val="0"/>
          <w:numId w:val="9"/>
        </w:numPr>
        <w:jc w:val="both"/>
        <w:rPr>
          <w:rStyle w:val="C3"/>
          <w:rFonts w:ascii="Courier New" w:hAnsi="Courier New"/>
        </w:rPr>
      </w:pPr>
      <w:r>
        <w:rPr>
          <w:rStyle w:val="C3"/>
          <w:rFonts w:ascii="Courier New" w:hAnsi="Courier New"/>
        </w:rPr>
        <w:t>Realizar y actualizar estudios estadísticos e informes, destinados a diagnosticar el uso y el consumo del servicio público de gas natural, para su optimización en Alta Gracia.</w:t>
      </w:r>
    </w:p>
    <w:p>
      <w:pPr>
        <w:numPr>
          <w:ilvl w:val="0"/>
          <w:numId w:val="9"/>
        </w:numPr>
        <w:jc w:val="both"/>
        <w:rPr>
          <w:rStyle w:val="C3"/>
          <w:rFonts w:ascii="Courier New" w:hAnsi="Courier New"/>
        </w:rPr>
      </w:pPr>
      <w:r>
        <w:rPr>
          <w:rStyle w:val="C3"/>
          <w:rFonts w:ascii="Courier New" w:hAnsi="Courier New"/>
        </w:rPr>
        <w:t>La Sociedad tiene plena capacidad jurídica para adquirir derechos y contraer obligaciones y ejercer los actos que no sean prohibidos por este Estatuto o por la Ley.</w:t>
        <w:br w:type="textWrapping"/>
        <w:t>Para el cumplimiento de su cometido, la Sociedad podrá aceptar representaciones, distribuciones, mantener participación en otras Sociedades, constituir uniones transitorias, fusionarse, escindirse, realizar inversiones que en forma directa o indirecta permitan el cumplimiento del objeto social, a tal fin, la Sociedad tiene plena capacidad jurídica para adquirir derechos y contraer obligaciones.-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...///14.-</w:t>
      </w:r>
    </w:p>
    <w:p>
      <w:pPr>
        <w:jc w:val="right"/>
        <w:rPr>
          <w:rStyle w:val="C3"/>
          <w:rFonts w:ascii="Courier New" w:hAnsi="Courier New"/>
        </w:rPr>
      </w:pPr>
    </w:p>
    <w:p>
      <w:pPr>
        <w:jc w:val="both"/>
        <w:rPr>
          <w:rStyle w:val="C3"/>
          <w:rFonts w:ascii="Courier New" w:hAnsi="Courier New"/>
          <w:b w:val="1"/>
        </w:rPr>
      </w:pPr>
      <w:r>
        <w:rPr>
          <w:rStyle w:val="C3"/>
          <w:rFonts w:ascii="Courier New" w:hAnsi="Courier New"/>
          <w:b w:val="1"/>
        </w:rPr>
        <w:t>CAPITAL SOCIAL – ACCIONES</w:t>
      </w:r>
    </w:p>
    <w:p>
      <w:pPr>
        <w:jc w:val="both"/>
        <w:rPr>
          <w:rStyle w:val="C3"/>
          <w:rFonts w:ascii="Courier New" w:hAnsi="Courier New"/>
        </w:rPr>
      </w:pPr>
      <w:r>
        <w:rPr>
          <w:rStyle w:val="C3"/>
          <w:rFonts w:ascii="Courier New" w:hAnsi="Courier New"/>
          <w:b w:val="1"/>
        </w:rPr>
        <w:t>Artículo 5º</w:t>
      </w:r>
      <w:r>
        <w:rPr>
          <w:rStyle w:val="C3"/>
          <w:rFonts w:ascii="Courier New" w:hAnsi="Courier New"/>
          <w:b w:val="1"/>
        </w:rPr>
        <w:t>:</w:t>
      </w:r>
      <w:r>
        <w:rPr>
          <w:rStyle w:val="C3"/>
          <w:rFonts w:ascii="Courier New" w:hAnsi="Courier New"/>
        </w:rPr>
        <w:t xml:space="preserve"> El capital social es de PESOS DOCE MIL ($12.000,00), dividido en SEISCIENTAS (600) acciones ordinarias nominativas no endosables de PESOS DIEZ ($ 10), valor nominal cada una clase A con derecho a un voto por acción, y SEISCIENTAS (600) acciones ordinarias nominativas no endosables de PESOS DIEZ ($10), valor nominal cada una clase B con derecho a un voto por acción. Dichas acciones se hallan suscriptas e integradas en su totalidad de la siguiente manera: un CINCUENTA POR CIENTO (50%) para la Municipalidad de Alta Gracia o sea SEISCIENTAS (600) acciones clase A y el CINCUENTA POR CIENTO (50%) para las entidades cooperativas que firmen el contrato social, o sea SEISCIENTAS (600) acciones clase B. El capital puede ser aumentado por decisión de la Asamblea Ordinaria hasta el quíntuplo de su monto, conforme al Artículo 188º de la Ley Nº 19550. La Asamblea sólo podrá delegar en el Directorio, la época de emisión, forma y condiciones de pago. La Resolución de la Asamblea se publicará por UN (1) día en el Boletín Oficial.</w:t>
      </w:r>
    </w:p>
    <w:p>
      <w:pPr>
        <w:jc w:val="both"/>
        <w:rPr>
          <w:rStyle w:val="C3"/>
          <w:rFonts w:ascii="Courier New" w:hAnsi="Courier New"/>
        </w:rPr>
      </w:pPr>
    </w:p>
    <w:p>
      <w:pPr>
        <w:jc w:val="both"/>
        <w:rPr>
          <w:rStyle w:val="C3"/>
          <w:rFonts w:ascii="Courier New" w:hAnsi="Courier New"/>
          <w:b w:val="1"/>
        </w:rPr>
      </w:pPr>
      <w:r>
        <w:rPr>
          <w:rStyle w:val="C3"/>
          <w:rFonts w:ascii="Courier New" w:hAnsi="Courier New"/>
        </w:rPr>
        <w:br w:type="textWrapping"/>
      </w:r>
      <w:r>
        <w:rPr>
          <w:rStyle w:val="C3"/>
          <w:rFonts w:ascii="Courier New" w:hAnsi="Courier New"/>
          <w:b w:val="1"/>
        </w:rPr>
        <w:t>CLASES DE ACCIONES</w:t>
      </w:r>
    </w:p>
    <w:p>
      <w:pPr>
        <w:jc w:val="both"/>
        <w:rPr>
          <w:rStyle w:val="C3"/>
          <w:rFonts w:ascii="Courier New" w:hAnsi="Courier New"/>
        </w:rPr>
      </w:pPr>
      <w:r>
        <w:rPr>
          <w:rStyle w:val="C3"/>
          <w:rFonts w:ascii="Courier New" w:hAnsi="Courier New"/>
          <w:b w:val="1"/>
        </w:rPr>
        <w:t>Artículo 6º</w:t>
      </w:r>
      <w:r>
        <w:rPr>
          <w:rStyle w:val="C3"/>
          <w:rFonts w:ascii="Courier New" w:hAnsi="Courier New"/>
          <w:b w:val="1"/>
        </w:rPr>
        <w:t>:</w:t>
      </w:r>
      <w:r>
        <w:rPr>
          <w:rStyle w:val="C3"/>
          <w:rFonts w:ascii="Courier New" w:hAnsi="Courier New"/>
        </w:rPr>
        <w:t xml:space="preserve"> Las acciones y los certificados provisionales que se emitan contendrán las menciones del Artículo 211º de la Ley Nº 19550. Se podrán emitir títulos representativos de más de una acción. Queda limitada la transmisibilidad de las acciones a terceros, confiriéndose en efecto el derecho de preferencia, respetando la proporción en la integración al capital establecida en el Artículo 5º a los socios o a la Sociedad por el mismo precio e idénticas condiciones de venta, aplicándose el procedimiento establecido en el Artículo 194º de la Ley Nº 19.550. Asimismo, el socio que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...///15.-</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se propone vender todas o parte de sus acciones a un tercero, deberá comunicar por escrito y bajo su firma al Directorio, el nombre del interesado, el precio y demás condiciones de venta, los socios y la Sociedad contarán con un plazo de QUINCE (15) días desde la fecha en que el socio comunicó al Directorio, para hacer uso del derecho de preferencia, notificando por medio fehaciente, el socio  al socio que desea vender sus acciones, la opción de compra efectuada. Vencido el plazo de QUINCE (15) días sin haberse comunicado el ejercicio del derecho de preferencia, se tendrá por acordada la conformidad. En caso de haberse decidido por la opción de compra a cargo de uno o más socios o la Sociedad, el instrumento respectivo deberá formalizarse dentro de los SIETE (7) días hábiles, en su defecto, se entenderá por no ejercitada la preferencia, quedando el socio vendedor en libertad para efectuar la venta exclusivamente a la persona por él señalada en su notificación. La presente notificación deberá constar en el Título.-</w:t>
      </w:r>
    </w:p>
    <w:p>
      <w:pPr>
        <w:jc w:val="both"/>
        <w:rPr>
          <w:rStyle w:val="C3"/>
          <w:rFonts w:ascii="Courier New" w:hAnsi="Courier New"/>
        </w:rPr>
      </w:pPr>
      <w:r>
        <w:rPr>
          <w:rStyle w:val="C3"/>
          <w:rFonts w:ascii="Courier New" w:hAnsi="Courier New"/>
        </w:rPr>
        <w:br w:type="textWrapping"/>
      </w:r>
      <w:r>
        <w:rPr>
          <w:rStyle w:val="C3"/>
          <w:rFonts w:ascii="Courier New" w:hAnsi="Courier New"/>
          <w:b w:val="1"/>
        </w:rPr>
        <w:t>ADMINISTRACION</w:t>
        <w:br w:type="textWrapping"/>
      </w:r>
      <w:r>
        <w:rPr>
          <w:rStyle w:val="C3"/>
          <w:rFonts w:ascii="Courier New" w:hAnsi="Courier New"/>
          <w:b w:val="1"/>
        </w:rPr>
        <w:t>Artículo 7º</w:t>
      </w:r>
      <w:r>
        <w:rPr>
          <w:rStyle w:val="C3"/>
          <w:rFonts w:ascii="Courier New" w:hAnsi="Courier New"/>
          <w:b w:val="1"/>
        </w:rPr>
        <w:t>:</w:t>
      </w:r>
      <w:r>
        <w:rPr>
          <w:rStyle w:val="C3"/>
          <w:rFonts w:ascii="Courier New" w:hAnsi="Courier New"/>
        </w:rPr>
        <w:t xml:space="preserve"> La administración de la Sociedad estará a cargo de un Directorio integrado por un número de TRES (3) miembros titulares, DOS (2) de los cuales deben ser electos por los tenedores de las acciones clase A y UNO (1) por los tenedores de las acciones clase B. Los Directores durarán en sus cargos tres ejercicios, pudiendo ser reelegidos por dos períodos. El Directorio funcionará con la mayoría absoluta de los miembros y resuelve con la mayoría de los presentes. El Presidente será elegido dentro de los Directores electos clase A y tendrá doble voto en caso de empate. La elección y remoción de los Directores deberá efectuarse conforme las previsiones del Artículo 250º CC. y SS. de la Ley de Sociedades. La remoción de los directores </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...///16.-</w:t>
      </w:r>
    </w:p>
    <w:p>
      <w:pPr>
        <w:jc w:val="right"/>
        <w:rPr>
          <w:rStyle w:val="C3"/>
          <w:rFonts w:ascii="Courier New" w:hAnsi="Courier New"/>
        </w:rPr>
      </w:pPr>
    </w:p>
    <w:p>
      <w:pPr>
        <w:jc w:val="both"/>
        <w:rPr>
          <w:rStyle w:val="C3"/>
          <w:rFonts w:ascii="Courier New" w:hAnsi="Courier New"/>
        </w:rPr>
      </w:pPr>
      <w:r>
        <w:rPr>
          <w:rStyle w:val="C3"/>
          <w:rFonts w:ascii="Courier New" w:hAnsi="Courier New"/>
        </w:rPr>
        <w:t>electos clase A será facultad de los accionistas clase A, en cualquier momento y sin expresión de causa alguna y la remoción de los directores designados electos clase B será facultad de los accionistas clase B, también en cualquier momento y sin expresión de causa. Los Directores serán remunerados de acuerdo a la Resolución de la Asamblea, la que en ningún caso podrá resolver una remuneración mensual mayor al de Secretario del Departamento Ejecutivo para el Presidente y el de Director del Departamento Ejecutivo para los Directores.-</w:t>
      </w:r>
    </w:p>
    <w:p>
      <w:pPr>
        <w:jc w:val="both"/>
        <w:rPr>
          <w:rStyle w:val="C3"/>
          <w:rFonts w:ascii="Courier New" w:hAnsi="Courier New"/>
        </w:rPr>
      </w:pPr>
      <w:r>
        <w:rPr>
          <w:rStyle w:val="C3"/>
          <w:rFonts w:ascii="Courier New" w:hAnsi="Courier New"/>
        </w:rPr>
        <w:br w:type="textWrapping"/>
      </w:r>
      <w:r>
        <w:rPr>
          <w:rStyle w:val="C3"/>
          <w:rFonts w:ascii="Courier New" w:hAnsi="Courier New"/>
          <w:b w:val="1"/>
        </w:rPr>
        <w:t>GARANTIA</w:t>
        <w:br w:type="textWrapping"/>
      </w:r>
      <w:r>
        <w:rPr>
          <w:rStyle w:val="C3"/>
          <w:rFonts w:ascii="Courier New" w:hAnsi="Courier New"/>
          <w:b w:val="1"/>
        </w:rPr>
        <w:t>Artículo 8º</w:t>
      </w:r>
      <w:r>
        <w:rPr>
          <w:rStyle w:val="C3"/>
          <w:rFonts w:ascii="Courier New" w:hAnsi="Courier New"/>
          <w:b w:val="1"/>
        </w:rPr>
        <w:t>:</w:t>
      </w:r>
      <w:r>
        <w:rPr>
          <w:rStyle w:val="C3"/>
          <w:rFonts w:ascii="Courier New" w:hAnsi="Courier New"/>
        </w:rPr>
        <w:t xml:space="preserve"> Los Directores deberán prestar la siguiente garantía: Depositar en la Sociedad en efectivo o en Títulos Públicos o en acciones de otra/s Sociedad/es en una cantidad equivalente a la suma de PESOS DOS MIL ($2.000) o constituir hipotecas, prendas o fianza otorgadas por terceros a favor de la Sociedad. Este importe podrá ser actualizado por Asamblea Ordinaria conforme ella lo determine.-</w:t>
      </w:r>
    </w:p>
    <w:p>
      <w:pPr>
        <w:jc w:val="both"/>
        <w:rPr>
          <w:rStyle w:val="C3"/>
          <w:rFonts w:ascii="Courier New" w:hAnsi="Courier New"/>
          <w:b w:val="1"/>
        </w:rPr>
      </w:pPr>
      <w:r>
        <w:rPr>
          <w:rStyle w:val="C3"/>
          <w:rFonts w:ascii="Courier New" w:hAnsi="Courier New"/>
        </w:rPr>
        <w:br w:type="textWrapping"/>
      </w:r>
      <w:r>
        <w:rPr>
          <w:rStyle w:val="C3"/>
          <w:rFonts w:ascii="Courier New" w:hAnsi="Courier New"/>
          <w:b w:val="1"/>
        </w:rPr>
        <w:t>GERENTE GENERAL</w:t>
      </w:r>
    </w:p>
    <w:p>
      <w:pPr>
        <w:jc w:val="both"/>
        <w:rPr>
          <w:rStyle w:val="C3"/>
          <w:rFonts w:ascii="Courier New" w:hAnsi="Courier New"/>
        </w:rPr>
      </w:pPr>
      <w:r>
        <w:rPr>
          <w:rStyle w:val="C3"/>
          <w:rFonts w:ascii="Courier New" w:hAnsi="Courier New"/>
          <w:b w:val="1"/>
        </w:rPr>
        <w:t>Artículo 9°</w:t>
      </w:r>
      <w:r>
        <w:rPr>
          <w:rStyle w:val="C3"/>
          <w:rFonts w:ascii="Courier New" w:hAnsi="Courier New"/>
          <w:b w:val="1"/>
        </w:rPr>
        <w:t>:</w:t>
      </w:r>
      <w:r>
        <w:rPr>
          <w:rStyle w:val="C3"/>
          <w:rFonts w:ascii="Courier New" w:hAnsi="Courier New"/>
          <w:b w:val="1"/>
        </w:rPr>
        <w:t xml:space="preserve"> </w:t>
      </w:r>
      <w:r>
        <w:rPr>
          <w:rStyle w:val="C3"/>
          <w:rFonts w:ascii="Courier New" w:hAnsi="Courier New"/>
        </w:rPr>
        <w:t>El directorio designará como Gerente General al Director elegido por los accionistas Clase B.-</w:t>
      </w:r>
    </w:p>
    <w:p>
      <w:pPr>
        <w:jc w:val="both"/>
        <w:rPr>
          <w:rStyle w:val="C3"/>
          <w:rFonts w:ascii="Courier New" w:hAnsi="Courier New"/>
        </w:rPr>
      </w:pPr>
    </w:p>
    <w:p>
      <w:pPr>
        <w:jc w:val="both"/>
        <w:rPr>
          <w:rStyle w:val="C3"/>
          <w:rFonts w:ascii="Courier New" w:hAnsi="Courier New"/>
          <w:b w:val="1"/>
        </w:rPr>
      </w:pPr>
      <w:r>
        <w:rPr>
          <w:rStyle w:val="C3"/>
          <w:rFonts w:ascii="Courier New" w:hAnsi="Courier New"/>
          <w:b w:val="1"/>
        </w:rPr>
        <w:t>EMPLEADOS</w:t>
      </w:r>
    </w:p>
    <w:p>
      <w:pPr>
        <w:jc w:val="both"/>
        <w:rPr>
          <w:rStyle w:val="C3"/>
          <w:rFonts w:ascii="Courier New" w:hAnsi="Courier New"/>
        </w:rPr>
      </w:pPr>
      <w:r>
        <w:rPr>
          <w:rStyle w:val="C3"/>
          <w:rFonts w:ascii="Courier New" w:hAnsi="Courier New"/>
          <w:b w:val="1"/>
        </w:rPr>
        <w:t>Artículo 10°</w:t>
      </w:r>
      <w:r>
        <w:rPr>
          <w:rStyle w:val="C3"/>
          <w:rFonts w:ascii="Courier New" w:hAnsi="Courier New"/>
          <w:b w:val="1"/>
        </w:rPr>
        <w:t>:</w:t>
      </w:r>
      <w:r>
        <w:rPr>
          <w:rStyle w:val="C3"/>
          <w:rFonts w:ascii="Courier New" w:hAnsi="Courier New"/>
          <w:b w:val="1"/>
        </w:rPr>
        <w:t xml:space="preserve"> </w:t>
      </w:r>
      <w:r>
        <w:rPr>
          <w:rStyle w:val="C3"/>
          <w:rFonts w:ascii="Courier New" w:hAnsi="Courier New"/>
        </w:rPr>
        <w:t>El personal de la sociedad, así como sus remuneraciones, será designado y determinado por el Directorio, necesitando contar al efecto con el voto de la mayoría del mismo. Dichas designaciones serán sometidas a la aprobación definitiva de la asamblea a realizarse con posterioridad inmediata a la designación.-</w:t>
      </w:r>
    </w:p>
    <w:p>
      <w:pPr>
        <w:jc w:val="both"/>
        <w:rPr>
          <w:rStyle w:val="C3"/>
          <w:rFonts w:ascii="Courier New" w:hAnsi="Courier New"/>
        </w:rPr>
      </w:pPr>
      <w:r>
        <w:rPr>
          <w:rStyle w:val="C3"/>
          <w:rFonts w:ascii="Courier New" w:hAnsi="Courier New"/>
        </w:rPr>
        <w:br w:type="textWrapping"/>
      </w:r>
      <w:r>
        <w:rPr>
          <w:rStyle w:val="C3"/>
          <w:rFonts w:ascii="Courier New" w:hAnsi="Courier New"/>
          <w:b w:val="1"/>
        </w:rPr>
        <w:t>RESPONSABILIDAD</w:t>
      </w:r>
      <w:r>
        <w:rPr>
          <w:rStyle w:val="C3"/>
          <w:rFonts w:ascii="Courier New" w:hAnsi="Courier New"/>
        </w:rPr>
        <w:br w:type="textWrapping"/>
      </w:r>
      <w:r>
        <w:rPr>
          <w:rStyle w:val="C3"/>
          <w:rFonts w:ascii="Courier New" w:hAnsi="Courier New"/>
          <w:b w:val="1"/>
        </w:rPr>
        <w:t>Artículo 11º</w:t>
      </w:r>
      <w:r>
        <w:rPr>
          <w:rStyle w:val="C3"/>
          <w:rFonts w:ascii="Courier New" w:hAnsi="Courier New"/>
          <w:b w:val="1"/>
        </w:rPr>
        <w:t>:</w:t>
      </w:r>
      <w:r>
        <w:rPr>
          <w:rStyle w:val="C3"/>
          <w:rFonts w:ascii="Courier New" w:hAnsi="Courier New"/>
        </w:rPr>
        <w:t xml:space="preserve"> Los Directores responden solidaria e ilimitadamente  ante  la  Sociedad, los accionistas y los </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...///17.-</w:t>
      </w:r>
    </w:p>
    <w:p>
      <w:pPr>
        <w:jc w:val="both"/>
        <w:rPr>
          <w:rStyle w:val="C3"/>
          <w:rFonts w:ascii="Courier New" w:hAnsi="Courier New"/>
        </w:rPr>
      </w:pPr>
    </w:p>
    <w:p>
      <w:pPr>
        <w:jc w:val="both"/>
        <w:rPr>
          <w:rStyle w:val="C3"/>
          <w:rFonts w:ascii="Courier New" w:hAnsi="Courier New"/>
        </w:rPr>
      </w:pPr>
      <w:r>
        <w:rPr>
          <w:rStyle w:val="C3"/>
          <w:rFonts w:ascii="Courier New" w:hAnsi="Courier New"/>
        </w:rPr>
        <w:t>terceros por el mal desempeño de su cargo, así como por la violación de la Ley, Ordenanza de creación, Estatuto, Reglamento y por cualquier daño producido por dolo, culpa grave o abuso de sus facultades. Queda exento de responsabilidad el Director que participó en la deliberación o resolución o que la conoció y deja constancia de su oposición y diere noticia al Síndico de manera inmediata, es decir antes de que se denuncie al Directorio, al Síndico, a la Asamblea o a las Autoridades Judiciales.</w:t>
      </w:r>
    </w:p>
    <w:p>
      <w:pPr>
        <w:jc w:val="both"/>
        <w:rPr>
          <w:rStyle w:val="C3"/>
          <w:rFonts w:ascii="Courier New" w:hAnsi="Courier New"/>
          <w:b w:val="1"/>
        </w:rPr>
      </w:pPr>
      <w:r>
        <w:rPr>
          <w:rStyle w:val="C3"/>
          <w:rFonts w:ascii="Courier New" w:hAnsi="Courier New"/>
        </w:rPr>
        <w:br w:type="textWrapping"/>
      </w:r>
      <w:r>
        <w:rPr>
          <w:rStyle w:val="C3"/>
          <w:rFonts w:ascii="Courier New" w:hAnsi="Courier New"/>
          <w:b w:val="1"/>
        </w:rPr>
        <w:t>DIRECTORIO – ATRIBUCIONES</w:t>
      </w:r>
    </w:p>
    <w:p>
      <w:pPr>
        <w:jc w:val="both"/>
        <w:rPr>
          <w:rStyle w:val="C3"/>
          <w:rFonts w:ascii="Courier New" w:hAnsi="Courier New"/>
          <w:b w:val="1"/>
        </w:rPr>
      </w:pPr>
      <w:r>
        <w:rPr>
          <w:rStyle w:val="C3"/>
          <w:rFonts w:ascii="Courier New" w:hAnsi="Courier New"/>
          <w:b w:val="1"/>
        </w:rPr>
        <w:t>Artículo 12º</w:t>
      </w:r>
      <w:r>
        <w:rPr>
          <w:rStyle w:val="C3"/>
          <w:rFonts w:ascii="Courier New" w:hAnsi="Courier New"/>
          <w:b w:val="1"/>
        </w:rPr>
        <w:t>:</w:t>
      </w:r>
      <w:r>
        <w:rPr>
          <w:rStyle w:val="C3"/>
          <w:rFonts w:ascii="Courier New" w:hAnsi="Courier New"/>
        </w:rPr>
        <w:t xml:space="preserve"> El Directorio tiene las atribuciones que las Leyes, la Ordenanza de creación y  el Estatuto Societario le confieren. El Directorio deberá reunirse por lo menos una vez al mes. Tiene las más amplias facultades para administrar y disponer de los bienes, comprendiéndose aquellas para las cuales la ley requiere poderes especiales conforme al Artículo 1881º del Código Civil y Artículo 9º del Decreto Nº 5965/63, pudiendo celebrar todo tipo de actos entre ellos, establecer agencias, sucursales u otra especie de representación dentro o fuera del país, operar con todos los Bancos e Instituciones de Crédito Oficiales o Privados, otorgar poderes con el objeto y extensión que juzgue</w:t>
      </w:r>
      <w:r>
        <w:rPr>
          <w:rStyle w:val="C3"/>
          <w:rFonts w:ascii="Courier New" w:hAnsi="Courier New"/>
          <w:color w:val="FFFFFF"/>
        </w:rPr>
        <w:t>-</w:t>
      </w:r>
      <w:r>
        <w:rPr>
          <w:rStyle w:val="C3"/>
          <w:rFonts w:ascii="Courier New" w:hAnsi="Courier New"/>
        </w:rPr>
        <w:t>conveniente.</w:t>
        <w:br w:type="textWrapping"/>
      </w:r>
    </w:p>
    <w:p>
      <w:pPr>
        <w:jc w:val="both"/>
        <w:rPr>
          <w:rStyle w:val="C3"/>
          <w:rFonts w:ascii="Courier New" w:hAnsi="Courier New"/>
        </w:rPr>
      </w:pPr>
      <w:r>
        <w:rPr>
          <w:rStyle w:val="C3"/>
          <w:rFonts w:ascii="Courier New" w:hAnsi="Courier New"/>
          <w:b w:val="1"/>
        </w:rPr>
        <w:t>REPRESENTACION</w:t>
      </w:r>
      <w:r>
        <w:rPr>
          <w:rStyle w:val="C3"/>
          <w:rFonts w:ascii="Courier New" w:hAnsi="Courier New"/>
        </w:rPr>
        <w:br w:type="textWrapping"/>
      </w:r>
      <w:r>
        <w:rPr>
          <w:rStyle w:val="C3"/>
          <w:rFonts w:ascii="Courier New" w:hAnsi="Courier New"/>
          <w:b w:val="1"/>
        </w:rPr>
        <w:t>Artículo 13º</w:t>
      </w:r>
      <w:r>
        <w:rPr>
          <w:rStyle w:val="C3"/>
          <w:rFonts w:ascii="Courier New" w:hAnsi="Courier New"/>
          <w:b w:val="1"/>
        </w:rPr>
        <w:t>:</w:t>
      </w:r>
      <w:r>
        <w:rPr>
          <w:rStyle w:val="C3"/>
          <w:rFonts w:ascii="Courier New" w:hAnsi="Courier New"/>
        </w:rPr>
        <w:t xml:space="preserve"> La representación de la Sociedad estará a cargo del Presidente del Directorio, quien conjuntamente con la firma de un Director electo por los accionistas clase B, obligará a la Sociedad. En caso de ausencia u otro impedimento del Presidente, será reemplazado por cualquiera de los Directores electos por los accionistas clase A. Los Directores reemplazantes lo harán sin necesidad de justificar la representación ante terceros.-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...///18.-</w:t>
      </w:r>
    </w:p>
    <w:p>
      <w:pPr>
        <w:jc w:val="right"/>
        <w:rPr>
          <w:rStyle w:val="C3"/>
          <w:rFonts w:ascii="Courier New" w:hAnsi="Courier New"/>
        </w:rPr>
      </w:pPr>
    </w:p>
    <w:p>
      <w:pPr>
        <w:jc w:val="both"/>
        <w:rPr>
          <w:rStyle w:val="C3"/>
          <w:rFonts w:ascii="Courier New" w:hAnsi="Courier New"/>
        </w:rPr>
      </w:pPr>
      <w:r>
        <w:rPr>
          <w:rStyle w:val="C3"/>
          <w:rFonts w:ascii="Courier New" w:hAnsi="Courier New"/>
          <w:b w:val="1"/>
        </w:rPr>
        <w:t>REEMPLAZO</w:t>
      </w:r>
      <w:r>
        <w:rPr>
          <w:rStyle w:val="C3"/>
          <w:rFonts w:ascii="Courier New" w:hAnsi="Courier New"/>
        </w:rPr>
        <w:br w:type="textWrapping"/>
      </w:r>
      <w:r>
        <w:rPr>
          <w:rStyle w:val="C3"/>
          <w:rFonts w:ascii="Courier New" w:hAnsi="Courier New"/>
          <w:b w:val="1"/>
        </w:rPr>
        <w:t>Artículo 14º</w:t>
      </w:r>
      <w:r>
        <w:rPr>
          <w:rStyle w:val="C3"/>
          <w:rFonts w:ascii="Courier New" w:hAnsi="Courier New"/>
          <w:b w:val="1"/>
        </w:rPr>
        <w:t>:</w:t>
      </w:r>
      <w:r>
        <w:rPr>
          <w:rStyle w:val="C3"/>
          <w:rFonts w:ascii="Courier New" w:hAnsi="Courier New"/>
        </w:rPr>
        <w:t xml:space="preserve"> En caso de fallecimiento, renuncia, incapacidad u otro impedimento permanente para ejercer el cargo de Director, la designación de los directores la realizará la clase de accionistas según corresponda.- </w:t>
      </w:r>
    </w:p>
    <w:p>
      <w:pPr>
        <w:jc w:val="both"/>
        <w:rPr>
          <w:rStyle w:val="C3"/>
          <w:rFonts w:ascii="Courier New" w:hAnsi="Courier New"/>
          <w:b w:val="1"/>
        </w:rPr>
      </w:pPr>
      <w:r>
        <w:rPr>
          <w:rStyle w:val="C3"/>
          <w:rFonts w:ascii="Courier New" w:hAnsi="Courier New"/>
          <w:b w:val="1"/>
        </w:rPr>
        <w:br w:type="textWrapping"/>
        <w:t>ASAMBLEAS - LUGAR DE REUNIÓN – COMPETENCIA</w:t>
      </w:r>
    </w:p>
    <w:p>
      <w:pPr>
        <w:jc w:val="both"/>
        <w:rPr>
          <w:rStyle w:val="C3"/>
          <w:rFonts w:ascii="Courier New" w:hAnsi="Courier New"/>
        </w:rPr>
      </w:pPr>
      <w:r>
        <w:rPr>
          <w:rStyle w:val="C3"/>
          <w:rFonts w:ascii="Courier New" w:hAnsi="Courier New"/>
          <w:b w:val="1"/>
        </w:rPr>
        <w:t>Artículo 15</w:t>
      </w:r>
      <w:r>
        <w:rPr>
          <w:rStyle w:val="C3"/>
          <w:rFonts w:ascii="Courier New" w:hAnsi="Courier New"/>
          <w:b w:val="1"/>
        </w:rPr>
        <w:t xml:space="preserve">: </w:t>
      </w:r>
      <w:r>
        <w:rPr>
          <w:rStyle w:val="C3"/>
          <w:rFonts w:ascii="Courier New" w:hAnsi="Courier New"/>
        </w:rPr>
        <w:t>Las Asambleas tiene competencia exclusiva para tratar los asuntos incluidos en los Artículos 234º y 235º de la Ley de Sociedades Comerciales. Se reunirá en un domicilio de la jurisdicción de la Sociedad. En lo referente a clases de Asambleas, quórum, mayorías, asistencia, convocatoria, se regirá por lo establecido por la Ley Nº 19550.-</w:t>
      </w:r>
    </w:p>
    <w:p>
      <w:pPr>
        <w:jc w:val="both"/>
        <w:rPr>
          <w:rStyle w:val="C3"/>
          <w:rFonts w:ascii="Courier New" w:hAnsi="Courier New"/>
          <w:b w:val="1"/>
        </w:rPr>
      </w:pPr>
      <w:r>
        <w:rPr>
          <w:rStyle w:val="C3"/>
          <w:rFonts w:ascii="Courier New" w:hAnsi="Courier New"/>
        </w:rPr>
        <w:br w:type="textWrapping"/>
      </w:r>
      <w:r>
        <w:rPr>
          <w:rStyle w:val="C3"/>
          <w:rFonts w:ascii="Courier New" w:hAnsi="Courier New"/>
          <w:b w:val="1"/>
        </w:rPr>
        <w:t>EJERCICIO ECONOMICO - FINANCIERO - GANANCIAS Y DIVIDENDOS</w:t>
      </w:r>
    </w:p>
    <w:p>
      <w:pPr>
        <w:jc w:val="both"/>
        <w:rPr>
          <w:rStyle w:val="C3"/>
          <w:rFonts w:ascii="Courier New" w:hAnsi="Courier New"/>
        </w:rPr>
      </w:pPr>
      <w:r>
        <w:rPr>
          <w:rStyle w:val="C3"/>
          <w:rFonts w:ascii="Courier New" w:hAnsi="Courier New"/>
          <w:b w:val="1"/>
        </w:rPr>
        <w:t>Artículo 16</w:t>
      </w:r>
      <w:r>
        <w:rPr>
          <w:rStyle w:val="C3"/>
          <w:rFonts w:ascii="Courier New" w:hAnsi="Courier New"/>
          <w:b w:val="1"/>
        </w:rPr>
        <w:t>:</w:t>
      </w:r>
      <w:r>
        <w:rPr>
          <w:rStyle w:val="C3"/>
          <w:rFonts w:ascii="Courier New" w:hAnsi="Courier New"/>
        </w:rPr>
        <w:t xml:space="preserve"> El Ejercicio Social cierra el treinta y uno (31) de diciembre de cada año. A esa fecha, se confeccionarán los Estados Contables conforme a las normas en vigencia. Las ganancias realizadas y líquidas se destinan: 1) El CINCO POR CIENTO (5%), para el fondo de reserva legal.- 2) A dividendos de las acciones preferidas si se las estableciera.- 3) A remuneración del Directorio y Síndicos.- 4) A los socios privados y al socio estatal. Las utilidades obtenidas por este último ingresarán al Municipio en una Partida presupuestaria creada al efecto.</w:t>
      </w:r>
    </w:p>
    <w:p>
      <w:pPr>
        <w:jc w:val="both"/>
        <w:rPr>
          <w:rStyle w:val="C3"/>
          <w:rFonts w:ascii="Courier New" w:hAnsi="Courier New"/>
        </w:rPr>
      </w:pPr>
      <w:r>
        <w:rPr>
          <w:rStyle w:val="C3"/>
          <w:rFonts w:ascii="Courier New" w:hAnsi="Courier New"/>
        </w:rPr>
        <w:br w:type="textWrapping"/>
      </w:r>
      <w:r>
        <w:rPr>
          <w:rStyle w:val="C3"/>
          <w:rFonts w:ascii="Courier New" w:hAnsi="Courier New"/>
          <w:b w:val="1"/>
        </w:rPr>
        <w:t>SINDICATURA</w:t>
      </w:r>
      <w:r>
        <w:rPr>
          <w:rStyle w:val="C3"/>
          <w:rFonts w:ascii="Courier New" w:hAnsi="Courier New"/>
        </w:rPr>
        <w:br w:type="textWrapping"/>
      </w:r>
      <w:r>
        <w:rPr>
          <w:rStyle w:val="C3"/>
          <w:rFonts w:ascii="Courier New" w:hAnsi="Courier New"/>
          <w:b w:val="1"/>
        </w:rPr>
        <w:t>Artículo 17º</w:t>
      </w:r>
      <w:r>
        <w:rPr>
          <w:rStyle w:val="C3"/>
          <w:rFonts w:ascii="Courier New" w:hAnsi="Courier New"/>
          <w:b w:val="1"/>
        </w:rPr>
        <w:t>:</w:t>
      </w:r>
      <w:r>
        <w:rPr>
          <w:rStyle w:val="C3"/>
          <w:rFonts w:ascii="Courier New" w:hAnsi="Courier New"/>
        </w:rPr>
        <w:t xml:space="preserve"> La Sindicatura estará compuesta por TRES (3) miembros, de los cuales DOS (2) deben ser electos por los tenedores de las acciones clase A y UNO (1) por los tenedores de las acciones clase B. De igual forma y número se elegirán los suplentes. Sus funciones se regirán por las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7"/>
        <w:rPr>
          <w:rStyle w:val="C3"/>
          <w:b w:val="1"/>
        </w:rPr>
      </w:pPr>
    </w:p>
    <w:p>
      <w:pPr>
        <w:pStyle w:val="P17"/>
        <w:rPr>
          <w:rStyle w:val="C3"/>
          <w:b w:val="1"/>
        </w:rPr>
      </w:pPr>
      <w:r>
        <w:rPr>
          <w:rStyle w:val="C3"/>
          <w:b w:val="0"/>
        </w:rPr>
        <w:t>...///19.-</w:t>
      </w:r>
    </w:p>
    <w:p>
      <w:pPr>
        <w:jc w:val="both"/>
        <w:rPr>
          <w:rStyle w:val="C3"/>
          <w:rFonts w:ascii="Courier New" w:hAnsi="Courier New"/>
        </w:rPr>
      </w:pPr>
    </w:p>
    <w:p>
      <w:pPr>
        <w:jc w:val="both"/>
        <w:rPr>
          <w:rStyle w:val="C3"/>
          <w:rFonts w:ascii="Courier New" w:hAnsi="Courier New"/>
        </w:rPr>
      </w:pPr>
      <w:r>
        <w:rPr>
          <w:rStyle w:val="C3"/>
          <w:rFonts w:ascii="Courier New" w:hAnsi="Courier New"/>
        </w:rPr>
        <w:t>disposiciones de la Ley Nº 19550 y la Ordenanza de creación. Los Síndicos durarán en sus cargos TRES (3) ejercicios, pudiendo ser reelegidos y serán remunerados de igual modo que los Directores. Podrán ser removidos de la misma forma que los Directores.-</w:t>
      </w:r>
    </w:p>
    <w:p>
      <w:pPr>
        <w:jc w:val="both"/>
        <w:rPr>
          <w:rStyle w:val="C3"/>
          <w:rFonts w:ascii="Courier New" w:hAnsi="Courier New"/>
        </w:rPr>
      </w:pPr>
    </w:p>
    <w:p>
      <w:pPr>
        <w:jc w:val="both"/>
        <w:rPr>
          <w:rStyle w:val="C3"/>
          <w:rFonts w:ascii="Courier New" w:hAnsi="Courier New"/>
        </w:rPr>
      </w:pPr>
      <w:r>
        <w:rPr>
          <w:rStyle w:val="C3"/>
          <w:rFonts w:ascii="Courier New" w:hAnsi="Courier New"/>
          <w:b w:val="1"/>
        </w:rPr>
        <w:t>DEPENDIENTES</w:t>
        <w:br w:type="textWrapping"/>
      </w:r>
      <w:r>
        <w:rPr>
          <w:rStyle w:val="C3"/>
          <w:rFonts w:ascii="Courier New" w:hAnsi="Courier New"/>
          <w:b w:val="1"/>
        </w:rPr>
        <w:t>Artículo 18º</w:t>
      </w:r>
      <w:r>
        <w:rPr>
          <w:rStyle w:val="C3"/>
          <w:rFonts w:ascii="Courier New" w:hAnsi="Courier New"/>
          <w:b w:val="1"/>
        </w:rPr>
        <w:t>:</w:t>
      </w:r>
      <w:r>
        <w:rPr>
          <w:rStyle w:val="C3"/>
          <w:rFonts w:ascii="Courier New" w:hAnsi="Courier New"/>
        </w:rPr>
        <w:t xml:space="preserve"> La Sociedad tendrá un porcentaje mínimo del OCHENTA POR CIENTO (80%) de empleados y obreros argentinos, con domicilio en nuestra ciudad, los que serán ocupados en los trabajos necesarios para el cumplimiento del objeto social.-</w:t>
      </w:r>
    </w:p>
    <w:p>
      <w:pPr>
        <w:jc w:val="both"/>
        <w:rPr>
          <w:rStyle w:val="C3"/>
          <w:rFonts w:ascii="Courier New" w:hAnsi="Courier New"/>
          <w:b w:val="1"/>
        </w:rPr>
      </w:pPr>
      <w:r>
        <w:rPr>
          <w:rStyle w:val="C3"/>
          <w:rFonts w:ascii="Courier New" w:hAnsi="Courier New"/>
          <w:b w:val="1"/>
        </w:rPr>
        <w:br w:type="textWrapping"/>
        <w:t>DISOLUCION – LIQUIDACION</w:t>
      </w:r>
    </w:p>
    <w:p>
      <w:pPr>
        <w:jc w:val="both"/>
        <w:rPr>
          <w:rStyle w:val="C3"/>
          <w:rFonts w:ascii="Courier New" w:hAnsi="Courier New"/>
        </w:rPr>
      </w:pPr>
      <w:r>
        <w:rPr>
          <w:rStyle w:val="C3"/>
          <w:rFonts w:ascii="Courier New" w:hAnsi="Courier New"/>
          <w:b w:val="1"/>
        </w:rPr>
        <w:t>Artículo 19</w:t>
      </w:r>
      <w:r>
        <w:rPr>
          <w:rStyle w:val="C3"/>
          <w:rFonts w:ascii="Courier New" w:hAnsi="Courier New"/>
          <w:b w:val="1"/>
        </w:rPr>
        <w:t>:</w:t>
      </w:r>
      <w:r>
        <w:rPr>
          <w:rStyle w:val="C3"/>
          <w:rFonts w:ascii="Courier New" w:hAnsi="Courier New"/>
        </w:rPr>
        <w:t xml:space="preserve"> La Sociedad se disuelve por cualquiera de las causales previstas en el Artículo 94º de la Ley Nº 19550 y la liquidación será practicada por él o los liquidadores designados por los tenedores de acciones clase A, quienes deberán actuar conforme a lo dispuesto por la Ley Nº 19550 y sus modificatorias.-</w:t>
      </w:r>
    </w:p>
    <w:p>
      <w:pPr>
        <w:jc w:val="right"/>
        <w:rPr>
          <w:rStyle w:val="C3"/>
          <w:rFonts w:ascii="Courier New" w:hAnsi="Courier New"/>
        </w:rPr>
      </w:pPr>
      <w:r>
        <w:rPr>
          <w:rStyle w:val="C3"/>
          <w:rFonts w:ascii="Courier New" w:hAnsi="Courier New"/>
        </w:rPr>
        <w:br w:type="textWrapping"/>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5">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CB80DE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4"/>
  </w:num>
  <w:num w:numId="2">
    <w:abstractNumId w:val="2"/>
  </w:num>
  <w:num w:numId="3">
    <w:abstractNumId w:val="3"/>
  </w:num>
  <w:num w:numId="4">
    <w:abstractNumId w:val="6"/>
  </w:num>
  <w:num w:numId="5">
    <w:abstractNumId w:val="8"/>
  </w:num>
  <w:num w:numId="6">
    <w:abstractNumId w:val="1"/>
  </w:num>
  <w:num w:numId="7">
    <w:abstractNumId w:val="5"/>
  </w:num>
  <w:num w:numId="8">
    <w:abstractNumId w:val="0"/>
  </w:num>
  <w:num w:numId="9">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9"/>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Texto de globo"/>
    <w:basedOn w:val="P0"/>
    <w:next w:val="P26"/>
    <w:link w:val="C6"/>
    <w:pPr/>
    <w:rPr>
      <w:rFonts w:ascii="Tahoma" w:hAnsi="Tahoma"/>
      <w:sz w:val="16"/>
    </w:rPr>
  </w:style>
  <w:style w:type="paragraph" w:styleId="P27">
    <w:name w:val="Pie de página"/>
    <w:basedOn w:val="P0"/>
    <w:next w:val="P27"/>
    <w:link w:val="C7"/>
    <w:pPr>
      <w:tabs>
        <w:tab w:val="center" w:pos="4252" w:leader="none"/>
        <w:tab w:val="right" w:pos="8504" w:leader="none"/>
      </w:tabs>
    </w:pPr>
    <w:rPr/>
  </w:style>
  <w:style w:type="paragraph" w:styleId="P28">
    <w:name w:val="Texto independiente primera sangría"/>
    <w:basedOn w:val="P11"/>
    <w:next w:val="P28"/>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Texto de globo Car"/>
    <w:basedOn w:val="C3"/>
    <w:link w:val="P26"/>
    <w:rPr>
      <w:rFonts w:ascii="Tahoma" w:hAnsi="Tahoma"/>
      <w:sz w:val="16"/>
    </w:rPr>
  </w:style>
  <w:style w:type="character" w:styleId="C7">
    <w:name w:val="Pie de página Car"/>
    <w:basedOn w:val="C3"/>
    <w:link w:val="P27"/>
    <w:rPr/>
  </w:style>
  <w:style w:type="character" w:styleId="C8">
    <w:name w:val="Texto independiente 2 Car"/>
    <w:basedOn w:val="C3"/>
    <w:link w:val="P16"/>
    <w:rPr>
      <w:rFonts w:ascii="Arial" w:hAnsi="Arial"/>
      <w:b w:val="1"/>
      <w:sz w:val="28"/>
    </w:rPr>
  </w:style>
  <w:style w:type="character" w:styleId="C9">
    <w:name w:val="Texto independiente 3 Car"/>
    <w:basedOn w:val="C3"/>
    <w:link w:val="P17"/>
    <w:rPr>
      <w:rFonts w:ascii="Courier New" w:hAnsi="Courier New"/>
      <w:b w:val="1"/>
    </w:rPr>
  </w:style>
  <w:style w:type="character" w:styleId="C10">
    <w:name w:val="Texto independiente primera sangría Car"/>
    <w:basedOn w:val="C5"/>
    <w:link w:val="P28"/>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2010-10-14T12:48:00Z</dcterms:created>
  <cp:lastModifiedBy>Ethan Puglia</cp:lastModifiedBy>
  <cp:lastPrinted>2010-10-25T12:06:00Z</cp:lastPrinted>
  <dcterms:modified xsi:type="dcterms:W3CDTF">2019-03-28T17:34:24Z</dcterms:modified>
  <cp:revision>20</cp:revision>
  <dc:title>PROYECTO DE ORDENANZA VIOLENCIA FAMILIAR</dc:title>
</cp:coreProperties>
</file>