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5CF4810" Type="http://schemas.openxmlformats.org/officeDocument/2006/relationships/officeDocument" Target="/word/document.xml" /><Relationship Id="coreR15CF481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8737</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529/I/10 y la situación planteada con la sanción de la Ordenanza Nº 8654; y</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
      <w:pPr>
        <w:tabs>
          <w:tab w:val="left" w:pos="2824" w:leader="none"/>
        </w:tabs>
      </w:pPr>
      <w:r>
        <w:tab/>
      </w:r>
    </w:p>
    <w:p>
      <w:pPr>
        <w:tabs>
          <w:tab w:val="left" w:pos="180" w:leader="none"/>
        </w:tabs>
        <w:ind w:left="426"/>
        <w:jc w:val="both"/>
        <w:rPr>
          <w:rStyle w:val="C3"/>
          <w:rFonts w:ascii="Courier New" w:hAnsi="Courier New"/>
        </w:rPr>
      </w:pPr>
      <w:r>
        <w:rPr>
          <w:rStyle w:val="C3"/>
          <w:rFonts w:ascii="Courier New" w:hAnsi="Courier New"/>
        </w:rPr>
        <w:t>Que con fecha 16 de Junio de 2010 este Honorable Concejo Deliberante sancionó la Ordenanza Nº 8654 en virtud de la cual se modificó el Art.1º, de la Ordenanza Nº 8619 incorporando el inciso “c” La Espera al Usuario: una ficha de VEINTE CENTAVOS DE PESO ($0,20) cada TREINTA (30) segundos;</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Que la Ordenanza Nº 8654 fue sancionada con fecha 21 de Abril de 2010;</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Que en el lapso de tiempo entre una y otra Ordenanza la Dirección de Policía Municipal de Tránsito - Área de Transporte, labró actas con fechas 10, 11, 12, 13, 14 y 15 de Mayo de 2010, por la cual se constató que los relojes de los vehículos de taxis y remises llevaban incluida la espera en el trayecto de recorrido. Dicha constatación ha dado lugar a que el tribunal Administrativo de Falta ha aplicado sanción de multas a los permisionarios;</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Que los permisionarios de Taxis y Remises han presentado notas solicitando se revea la sanción aplicada, lo que resulta imposible desde el ámbito del Departamento Ejecutivo Municipal al haber adquirido firmeza los actos administrativos dictados por el citado tribunal;</w:t>
      </w:r>
    </w:p>
    <w:p>
      <w:pPr>
        <w:tabs>
          <w:tab w:val="left" w:pos="180" w:leader="none"/>
        </w:tabs>
        <w:ind w:left="426"/>
        <w:jc w:val="right"/>
        <w:rPr>
          <w:rStyle w:val="C3"/>
          <w:rFonts w:ascii="Courier New" w:hAnsi="Courier New"/>
        </w:rPr>
      </w:pPr>
      <w:r>
        <w:rPr>
          <w:rStyle w:val="C3"/>
          <w:rFonts w:ascii="Courier New" w:hAnsi="Courier New"/>
        </w:rPr>
        <w:t>...///</w:t>
      </w:r>
    </w:p>
    <w:p>
      <w:pPr>
        <w:tabs>
          <w:tab w:val="left" w:pos="180" w:leader="none"/>
        </w:tabs>
        <w:ind w:left="426"/>
        <w:jc w:val="right"/>
        <w:rPr>
          <w:rStyle w:val="C3"/>
          <w:rFonts w:ascii="Courier New" w:hAnsi="Courier New"/>
        </w:rPr>
      </w:pPr>
    </w:p>
    <w:p>
      <w:pPr>
        <w:tabs>
          <w:tab w:val="left" w:pos="180" w:leader="none"/>
        </w:tabs>
        <w:ind w:left="426"/>
        <w:jc w:val="right"/>
        <w:rPr>
          <w:rStyle w:val="C3"/>
          <w:rFonts w:ascii="Courier New" w:hAnsi="Courier New"/>
        </w:rPr>
      </w:pPr>
    </w:p>
    <w:p>
      <w:pPr>
        <w:tabs>
          <w:tab w:val="left" w:pos="180" w:leader="none"/>
        </w:tabs>
        <w:ind w:left="426"/>
        <w:jc w:val="right"/>
        <w:rPr>
          <w:rStyle w:val="C3"/>
          <w:rFonts w:ascii="Courier New" w:hAnsi="Courier New"/>
        </w:rPr>
      </w:pPr>
    </w:p>
    <w:p>
      <w:pPr>
        <w:tabs>
          <w:tab w:val="left" w:pos="180" w:leader="none"/>
        </w:tabs>
        <w:ind w:left="426"/>
        <w:jc w:val="right"/>
        <w:rPr>
          <w:rStyle w:val="C3"/>
          <w:rFonts w:ascii="Courier New" w:hAnsi="Courier New"/>
        </w:rPr>
      </w:pPr>
    </w:p>
    <w:p>
      <w:pPr>
        <w:tabs>
          <w:tab w:val="left" w:pos="180" w:leader="none"/>
        </w:tabs>
        <w:ind w:left="426"/>
        <w:jc w:val="right"/>
        <w:rPr>
          <w:rStyle w:val="C3"/>
          <w:rFonts w:ascii="Courier New" w:hAnsi="Courier New"/>
        </w:rPr>
      </w:pPr>
    </w:p>
    <w:p>
      <w:pPr>
        <w:tabs>
          <w:tab w:val="left" w:pos="180" w:leader="none"/>
        </w:tabs>
        <w:ind w:left="426"/>
        <w:jc w:val="right"/>
        <w:rPr>
          <w:rStyle w:val="C3"/>
          <w:rFonts w:ascii="Courier New" w:hAnsi="Courier New"/>
        </w:rPr>
      </w:pPr>
    </w:p>
    <w:p>
      <w:pPr>
        <w:tabs>
          <w:tab w:val="left" w:pos="180" w:leader="none"/>
        </w:tabs>
        <w:ind w:left="426"/>
        <w:jc w:val="right"/>
        <w:rPr>
          <w:rStyle w:val="C3"/>
          <w:rFonts w:ascii="Courier New" w:hAnsi="Courier New"/>
        </w:rPr>
      </w:pPr>
    </w:p>
    <w:p>
      <w:pPr>
        <w:tabs>
          <w:tab w:val="left" w:pos="180" w:leader="none"/>
        </w:tabs>
        <w:ind w:left="426"/>
        <w:jc w:val="right"/>
        <w:rPr>
          <w:rStyle w:val="C3"/>
          <w:rFonts w:ascii="Courier New" w:hAnsi="Courier New"/>
        </w:rPr>
      </w:pPr>
    </w:p>
    <w:p>
      <w:pPr>
        <w:tabs>
          <w:tab w:val="left" w:pos="180" w:leader="none"/>
        </w:tabs>
        <w:ind w:left="426"/>
        <w:jc w:val="right"/>
        <w:rPr>
          <w:rStyle w:val="C3"/>
          <w:rFonts w:ascii="Courier New" w:hAnsi="Courier New"/>
        </w:rPr>
      </w:pPr>
    </w:p>
    <w:p>
      <w:pPr>
        <w:tabs>
          <w:tab w:val="left" w:pos="180" w:leader="none"/>
        </w:tabs>
        <w:ind w:left="426"/>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tabs>
          <w:tab w:val="left" w:pos="180" w:leader="none"/>
        </w:tabs>
        <w:jc w:val="both"/>
        <w:rPr>
          <w:rStyle w:val="C3"/>
          <w:rFonts w:ascii="Courier New" w:hAnsi="Courier New"/>
        </w:rPr>
      </w:pPr>
    </w:p>
    <w:p>
      <w:pPr>
        <w:tabs>
          <w:tab w:val="left" w:pos="180" w:leader="none"/>
        </w:tabs>
        <w:jc w:val="both"/>
        <w:rPr>
          <w:rStyle w:val="C3"/>
          <w:rFonts w:ascii="Courier New" w:hAnsi="Courier New"/>
        </w:rPr>
      </w:pPr>
      <w:r>
        <w:rPr>
          <w:rStyle w:val="C3"/>
          <w:rFonts w:ascii="Courier New" w:hAnsi="Courier New"/>
        </w:rPr>
        <w:t>...///2.-</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Que la sanción aplicada en el marco de la Ordenanza Nº 8619 ha sufrido un cambio esencial con la Ordenanza Nº 8654 que precisamente modifica el Art.1º de aquella, tornando ahora legítimo lo que antes no lo era;</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 xml:space="preserve">Que el Señor Asesor Letrado se expide en el sentido que tratándose de un error de la Administración Pública, subsanado ante el reclamo de los transportistas, y que las multas aplicadas resultan correctas en el tiempo, pero injustas por un vacío legal en la normativa vigente a la época y que en atención al principio oficioso de la verdad (Art.176º de la constitución Provincial de Córdoba) corresponde dejar sin efecto las multas impuestas;           </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 xml:space="preserve">Que ello sólo es factible con la sanción de una Ordenanza que exima, con carácter excepcional las multas aplicadas por la Administración Municipal a los permisionarios de Taxis y Remises, durante el lapso de tiempo existente entre la sanción de la Ordenanza Nº 8616 y 8654;  </w:t>
      </w:r>
    </w:p>
    <w:p>
      <w:pPr>
        <w:tabs>
          <w:tab w:val="left" w:pos="180" w:leader="none"/>
        </w:tabs>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Comisión de Transporte, la misma emite despacho favorable, con modificaciones, aprobado por unanimidad en Sesión Ordinaria del día 06 de Octubre de 2010.-</w:t>
      </w:r>
    </w:p>
    <w:p>
      <w:pPr>
        <w:pStyle w:val="P11"/>
        <w:jc w:val="right"/>
        <w:rPr>
          <w:rStyle w:val="C3"/>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561"/>
        <w:jc w:val="right"/>
      </w:pPr>
      <w:r>
        <w:t>...///</w:t>
      </w:r>
    </w:p>
    <w:p>
      <w:pPr>
        <w:pStyle w:val="P12"/>
        <w:ind w:left="561"/>
        <w:jc w:val="center"/>
        <w:rPr>
          <w:rStyle w:val="C3"/>
          <w:b w:val="1"/>
        </w:rPr>
      </w:pPr>
    </w:p>
    <w:p>
      <w:pPr>
        <w:pStyle w:val="P12"/>
        <w:ind w:left="561"/>
        <w:jc w:val="center"/>
        <w:rPr>
          <w:rStyle w:val="C3"/>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tabs>
          <w:tab w:val="left" w:pos="180" w:leader="none"/>
        </w:tabs>
        <w:jc w:val="both"/>
        <w:rPr>
          <w:rStyle w:val="C3"/>
          <w:rFonts w:ascii="Courier New" w:hAnsi="Courier New"/>
        </w:rPr>
      </w:pPr>
    </w:p>
    <w:p>
      <w:pPr>
        <w:tabs>
          <w:tab w:val="left" w:pos="180" w:leader="none"/>
        </w:tabs>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NÚLESE </w:t>
      </w:r>
      <w:r>
        <w:rPr>
          <w:rStyle w:val="C3"/>
          <w:rFonts w:ascii="Courier New" w:hAnsi="Courier New"/>
        </w:rPr>
        <w:t>excepcionalmente las sanciones aplicadas a permisionarios de Taxis y Remises con motivo de las Actas de Constatación labradas por el Área de Transporte – Secretaría General y de Coordinación Administrativa (Ex Dirección de Policía Municipal de Tránsito) con fechas 10,11,12,13,14 y 15 de Mayo de 2010, por las cuales se constató que los relojes de los vehículos de Taxis y Remises llevaban incluida la espera en el trayecto de recorrida.-</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DETERMÍNASE </w:t>
      </w:r>
      <w:r>
        <w:rPr>
          <w:rStyle w:val="C3"/>
          <w:rFonts w:ascii="Courier New" w:hAnsi="Courier New"/>
        </w:rPr>
        <w:t xml:space="preserve">en función de lo establecido en el artículo anterior, que las multas en cuestión no queden registradas como antecedentes en los correspondientes legajos de cada uno de los permisionarios afectados.-  </w:t>
      </w:r>
    </w:p>
    <w:p>
      <w:pPr>
        <w:pStyle w:val="P12"/>
        <w:ind w:hanging="426" w:left="426"/>
        <w:jc w:val="right"/>
        <w:rPr>
          <w:rStyle w:val="C3"/>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SEIS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879C26C">
      <w:start w:val="0"/>
      <w:numFmt w:val="bullet"/>
      <w:suff w:val="tab"/>
      <w:lvlText w:val=""/>
      <w:lvlJc w:val="left"/>
      <w:pPr>
        <w:ind w:hanging="360" w:left="927"/>
      </w:pPr>
      <w:rPr>
        <w:rFonts w:ascii="Symbol" w:hAnsi="Symbol"/>
      </w:rPr>
    </w:lvl>
    <w:lvl w:ilvl="1" w:tplc="6BBFE7F3">
      <w:start w:val="1"/>
      <w:numFmt w:val="bullet"/>
      <w:suff w:val="tab"/>
      <w:lvlText w:val="o"/>
      <w:lvlJc w:val="left"/>
      <w:pPr>
        <w:ind w:hanging="360" w:left="1647"/>
      </w:pPr>
      <w:rPr>
        <w:rFonts w:ascii="Courier New" w:hAnsi="Courier New"/>
      </w:rPr>
    </w:lvl>
    <w:lvl w:ilvl="2" w:tplc="4D8B2D64">
      <w:start w:val="1"/>
      <w:numFmt w:val="bullet"/>
      <w:suff w:val="tab"/>
      <w:lvlText w:val=""/>
      <w:lvlJc w:val="left"/>
      <w:pPr>
        <w:ind w:hanging="360" w:left="2367"/>
      </w:pPr>
      <w:rPr>
        <w:rFonts w:ascii="Wingdings" w:hAnsi="Wingdings"/>
      </w:rPr>
    </w:lvl>
    <w:lvl w:ilvl="3" w:tplc="311D15EC">
      <w:start w:val="1"/>
      <w:numFmt w:val="bullet"/>
      <w:suff w:val="tab"/>
      <w:lvlText w:val=""/>
      <w:lvlJc w:val="left"/>
      <w:pPr>
        <w:ind w:hanging="360" w:left="3087"/>
      </w:pPr>
      <w:rPr>
        <w:rFonts w:ascii="Symbol" w:hAnsi="Symbol"/>
      </w:rPr>
    </w:lvl>
    <w:lvl w:ilvl="4" w:tplc="75E0F5A9">
      <w:start w:val="1"/>
      <w:numFmt w:val="bullet"/>
      <w:suff w:val="tab"/>
      <w:lvlText w:val="o"/>
      <w:lvlJc w:val="left"/>
      <w:pPr>
        <w:ind w:hanging="360" w:left="3807"/>
      </w:pPr>
      <w:rPr>
        <w:rFonts w:ascii="Courier New" w:hAnsi="Courier New"/>
      </w:rPr>
    </w:lvl>
    <w:lvl w:ilvl="5" w:tplc="16175DD5">
      <w:start w:val="1"/>
      <w:numFmt w:val="bullet"/>
      <w:suff w:val="tab"/>
      <w:lvlText w:val=""/>
      <w:lvlJc w:val="left"/>
      <w:pPr>
        <w:ind w:hanging="360" w:left="4527"/>
      </w:pPr>
      <w:rPr>
        <w:rFonts w:ascii="Wingdings" w:hAnsi="Wingdings"/>
      </w:rPr>
    </w:lvl>
    <w:lvl w:ilvl="6" w:tplc="54FABD43">
      <w:start w:val="1"/>
      <w:numFmt w:val="bullet"/>
      <w:suff w:val="tab"/>
      <w:lvlText w:val=""/>
      <w:lvlJc w:val="left"/>
      <w:pPr>
        <w:ind w:hanging="360" w:left="5247"/>
      </w:pPr>
      <w:rPr>
        <w:rFonts w:ascii="Symbol" w:hAnsi="Symbol"/>
      </w:rPr>
    </w:lvl>
    <w:lvl w:ilvl="7" w:tplc="495562CD">
      <w:start w:val="1"/>
      <w:numFmt w:val="bullet"/>
      <w:suff w:val="tab"/>
      <w:lvlText w:val="o"/>
      <w:lvlJc w:val="left"/>
      <w:pPr>
        <w:ind w:hanging="360" w:left="5967"/>
      </w:pPr>
      <w:rPr>
        <w:rFonts w:ascii="Courier New" w:hAnsi="Courier New"/>
      </w:rPr>
    </w:lvl>
    <w:lvl w:ilvl="8" w:tplc="23D78FB7">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72BED964">
      <w:start w:val="1"/>
      <w:numFmt w:val="bullet"/>
      <w:suff w:val="tab"/>
      <w:lvlText w:val=""/>
      <w:lvlJc w:val="left"/>
      <w:pPr>
        <w:ind w:hanging="360" w:left="720"/>
        <w:tabs>
          <w:tab w:val="left" w:pos="720" w:leader="none"/>
        </w:tabs>
      </w:pPr>
      <w:rPr>
        <w:rFonts w:ascii="Symbol" w:hAnsi="Symbol"/>
      </w:rPr>
    </w:lvl>
    <w:lvl w:ilvl="1" w:tplc="0EFF327E">
      <w:start w:val="1"/>
      <w:numFmt w:val="bullet"/>
      <w:suff w:val="tab"/>
      <w:lvlText w:val="o"/>
      <w:lvlJc w:val="left"/>
      <w:pPr>
        <w:ind w:hanging="360" w:left="1440"/>
        <w:tabs>
          <w:tab w:val="left" w:pos="1440" w:leader="none"/>
        </w:tabs>
      </w:pPr>
      <w:rPr>
        <w:rFonts w:ascii="Courier New" w:hAnsi="Courier New"/>
      </w:rPr>
    </w:lvl>
    <w:lvl w:ilvl="2" w:tplc="31611882">
      <w:start w:val="1"/>
      <w:numFmt w:val="bullet"/>
      <w:suff w:val="tab"/>
      <w:lvlText w:val=""/>
      <w:lvlJc w:val="left"/>
      <w:pPr>
        <w:ind w:hanging="360" w:left="2160"/>
        <w:tabs>
          <w:tab w:val="left" w:pos="2160" w:leader="none"/>
        </w:tabs>
      </w:pPr>
      <w:rPr>
        <w:rFonts w:ascii="Wingdings" w:hAnsi="Wingdings"/>
      </w:rPr>
    </w:lvl>
    <w:lvl w:ilvl="3" w:tplc="2E2562F2">
      <w:start w:val="1"/>
      <w:numFmt w:val="bullet"/>
      <w:suff w:val="tab"/>
      <w:lvlText w:val=""/>
      <w:lvlJc w:val="left"/>
      <w:pPr>
        <w:ind w:hanging="360" w:left="2880"/>
        <w:tabs>
          <w:tab w:val="left" w:pos="2880" w:leader="none"/>
        </w:tabs>
      </w:pPr>
      <w:rPr>
        <w:rFonts w:ascii="Symbol" w:hAnsi="Symbol"/>
      </w:rPr>
    </w:lvl>
    <w:lvl w:ilvl="4" w:tplc="1946AD12">
      <w:start w:val="1"/>
      <w:numFmt w:val="bullet"/>
      <w:suff w:val="tab"/>
      <w:lvlText w:val="o"/>
      <w:lvlJc w:val="left"/>
      <w:pPr>
        <w:ind w:hanging="360" w:left="3600"/>
        <w:tabs>
          <w:tab w:val="left" w:pos="3600" w:leader="none"/>
        </w:tabs>
      </w:pPr>
      <w:rPr>
        <w:rFonts w:ascii="Courier New" w:hAnsi="Courier New"/>
      </w:rPr>
    </w:lvl>
    <w:lvl w:ilvl="5" w:tplc="682BC25A">
      <w:start w:val="1"/>
      <w:numFmt w:val="bullet"/>
      <w:suff w:val="tab"/>
      <w:lvlText w:val=""/>
      <w:lvlJc w:val="left"/>
      <w:pPr>
        <w:ind w:hanging="360" w:left="4320"/>
        <w:tabs>
          <w:tab w:val="left" w:pos="4320" w:leader="none"/>
        </w:tabs>
      </w:pPr>
      <w:rPr>
        <w:rFonts w:ascii="Wingdings" w:hAnsi="Wingdings"/>
      </w:rPr>
    </w:lvl>
    <w:lvl w:ilvl="6" w:tplc="144829D8">
      <w:start w:val="1"/>
      <w:numFmt w:val="bullet"/>
      <w:suff w:val="tab"/>
      <w:lvlText w:val=""/>
      <w:lvlJc w:val="left"/>
      <w:pPr>
        <w:ind w:hanging="360" w:left="5040"/>
        <w:tabs>
          <w:tab w:val="left" w:pos="5040" w:leader="none"/>
        </w:tabs>
      </w:pPr>
      <w:rPr>
        <w:rFonts w:ascii="Symbol" w:hAnsi="Symbol"/>
      </w:rPr>
    </w:lvl>
    <w:lvl w:ilvl="7" w:tplc="52260CBA">
      <w:start w:val="1"/>
      <w:numFmt w:val="bullet"/>
      <w:suff w:val="tab"/>
      <w:lvlText w:val="o"/>
      <w:lvlJc w:val="left"/>
      <w:pPr>
        <w:ind w:hanging="360" w:left="5760"/>
        <w:tabs>
          <w:tab w:val="left" w:pos="5760" w:leader="none"/>
        </w:tabs>
      </w:pPr>
      <w:rPr>
        <w:rFonts w:ascii="Courier New" w:hAnsi="Courier New"/>
      </w:rPr>
    </w:lvl>
    <w:lvl w:ilvl="8" w:tplc="20589C56">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7DFF1B5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2010-10-14T10:47:00Z</dcterms:created>
  <cp:lastModifiedBy>Ethan Puglia</cp:lastModifiedBy>
  <cp:lastPrinted>2010-10-14T10:43:00Z</cp:lastPrinted>
  <dcterms:modified xsi:type="dcterms:W3CDTF">2019-03-28T17:34:24Z</dcterms:modified>
  <cp:revision>6</cp:revision>
  <dc:title>PROYECTO DE ORDENANZA VIOLENCIA FAMILIAR</dc:title>
</cp:coreProperties>
</file>