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DA56F7" Type="http://schemas.openxmlformats.org/officeDocument/2006/relationships/officeDocument" Target="/word/document.xml" /><Relationship Id="coreR14DA56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1173/02;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citado instrumento administrativo, la Sra. Josefa Mercedes Gómez, solicita eximición de las Tasas por Administración y Mantenimiento de los Cementerios y Servicios a la Propiedad, que recae sobre la Identificación Nº6725 y la Designación Catastral 01-01-356-011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7101 sancionada el 11 de Noviembre de 2004, se le concede beneficios especiales eximiendo el OCHENTA POR CIENTO (80%) de las deudas en tal concepto;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reunión mantenida con la Comisión de Hacienda, la Señora Claudia Soria informa que la titular ha fallecido, quedando ella como única heredera de la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(Fs.36) noticia que es un hogar biparental, donde el único ingreso es el sueldo de la hija de la Sra. Soria;</w:t>
      </w:r>
    </w:p>
    <w:p>
      <w:pPr>
        <w:pStyle w:val="P11"/>
        <w:ind w:left="567"/>
        <w:jc w:val="right"/>
        <w:rPr>
          <w:rStyle w:val="C3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ind w:left="425"/>
        <w:jc w:val="both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realizar plan de pagos acorde a sus posibilidades, a valores históricos, sin intereses ni actualizaciones ni recargos, por la deuda no prescripta que a la fecha  de promulgación de la presente posea en concepto de Tasa por Servicios de administración y Mantenimiento de los Cementerios, a la responsable de pago de la identificación Nº 6725.-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</w:rPr>
        <w:t xml:space="preserve"> que por cada cuota de la deuda actual abonada en término en concepto de Tasa por Servicios a la Propiedad, del inmueble Designación Catastral 01-01-0356-011-000, EXIMIR SEIS (6) cuotas de la deuda anterior.-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CONDICIONAR</w:t>
        <w:tab/>
      </w:r>
      <w:r>
        <w:rPr>
          <w:rStyle w:val="C3"/>
          <w:rFonts w:ascii="Courier New" w:hAnsi="Courier New"/>
        </w:rPr>
        <w:t>que la falta de pago de TRES (3) cuotas consecutivas o alternadas de las cuotas fijadas en el Art.1º hará caducar automáticamente el beneficio otorgado.-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8A26DC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81544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0C24A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D52FB5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3DBDC3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4A1D08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8702B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20FB1C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4E019F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03D6E796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5FE2BED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BFA303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FD0484F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0173B5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60FB23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D010CF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98E0AB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228423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1CA49C4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857EC4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664367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FC3617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6ECE31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E0E46B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1D1F65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C54224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D870EF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07E9749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CB155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5B5A5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3BFC0A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B23895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B05BD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A20CE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47EB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471C449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A0265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BE747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FAE51A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65B59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7B95AC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C39B5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AF3D7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2C0E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572B52B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CAAF86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4108D30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621D9E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526E6C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734430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99C9CB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6DDAB1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7503888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26F4A1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49543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DF0C5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9472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B405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81060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87B9E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71AC28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0B9D8F1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19449D6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884BFA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01726E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4BF368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0F4743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12E3C6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0CF50D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F36EA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5D60E69C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29CF974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279F18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764952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09E927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A09B1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1423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C0D5C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E2F3F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2010-10-25T10:34:00Z</dcterms:created>
  <cp:lastModifiedBy>Ethan Puglia</cp:lastModifiedBy>
  <cp:lastPrinted>2010-10-25T10:29:00Z</cp:lastPrinted>
  <dcterms:modified xsi:type="dcterms:W3CDTF">2019-03-28T17:34:25Z</dcterms:modified>
  <cp:revision>6</cp:revision>
  <dc:title>PROYECTO DE ORDENANZA VIOLENCIA FAMILIAR</dc:title>
</cp:coreProperties>
</file>