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124513" Type="http://schemas.openxmlformats.org/officeDocument/2006/relationships/officeDocument" Target="/word/document.xml" /><Relationship Id="coreR7812451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8766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767/I/06;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pStyle w:val="P13"/>
        <w:ind w:firstLine="0" w:left="426"/>
      </w:pPr>
      <w:r>
        <w:t xml:space="preserve">Que a través del mismo y mediante nota, la Sra. Ruggeri Ramona solicita consideración y o/eximición de la deuda que en concepto de Tasa por Servicios a la Propiedad  mantiene con la Municipalidad de Alta Gracia, el inmueble Designación Catastral 01-01-053-010, cta. Nº00005407;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del correspondiente Relevamiento Socioeconómico y Ambiental se desprende que se trata de una persona jubilada con problemas de salud propios de la edad;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convive con su hija y el cónyuge de esta, también ambos jubilados, ocupando la vivienda del difunto esposo de la Sra. Ruggeri, Don Isaac Montenegro;</w:t>
      </w:r>
    </w:p>
    <w:p>
      <w:pPr>
        <w:pStyle w:val="P13"/>
        <w:ind w:firstLine="0" w:left="426"/>
      </w:pPr>
      <w:r>
        <w:br w:type="textWrapping"/>
        <w:t>Que la vivienda en cuestión se encuentra en estado regular de conservación, presentando humedad y rajaduras de techo y paredes, motivo por el cual una de ellas es inhabitable;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se trata de un grupo familiar con ingresos formales que escasamente llegan a cubrir sus necesidades;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27 de Octubre de 2010.- </w:t>
      </w:r>
    </w:p>
    <w:p>
      <w:pPr>
        <w:ind w:left="425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jc w:val="left"/>
        <w:rPr>
          <w:rStyle w:val="C3"/>
          <w:b w:val="1"/>
          <w:u w:val="none"/>
        </w:rPr>
      </w:pPr>
    </w:p>
    <w:p>
      <w:pPr>
        <w:pStyle w:val="P4"/>
        <w:jc w:val="left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...///2.-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hasta la promulgación de la presente mantiene, en concepto de Tasa por Servicios a la propiedad, con la Municipalidad de alta Gracia, el inmueble Designación Catastral 01-01-053-010, cta. Nº00005407.-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CONCEDER</w:t>
      </w:r>
      <w:r>
        <w:rPr>
          <w:rStyle w:val="C3"/>
          <w:rFonts w:ascii="Courier New" w:hAnsi="Courier New"/>
        </w:rPr>
        <w:t xml:space="preserve"> el beneficio de la Ordenanza N° 3873, Art.78º Inc. 4 desde la promulgación de la presente y mientras se acredite la permanencia en dicho inmueble de alguno de sus actuales moradores, debiendo solicitarse anualmente la correspondiente renovación en un todo de acuerdo a lo fijado en los Art.78º y 79º de la norma en cuestión.-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actuantes, a los fines de dejar sin efectos e o los juicios iniciados,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04FA6B6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8EC187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0AE9EC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456081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02C4BD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DCFB8C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927DBA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BBAFF1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0FA376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4419ED8A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2A27EDC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521DD8F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946F35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B26827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102BD3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C4A252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630A11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F2DB4D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629F5AEF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55C334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ADF7D9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649165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F5F5B5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6A76A5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CE9FF0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90E796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82AC2B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57BFD7F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BA220C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29454A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6265A8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0436EE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5AF642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F71FB6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37577E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44711AE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C50CC7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D71519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20A3B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51A6E9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3C8EB4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A2619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F21F7F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EF16A2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3DB5227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A93757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FCFCEA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6F3072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440C9D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174193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61BE90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11EA36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1404352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FC9310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12225A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EB1550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98CBD1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A07346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76C0A1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71DD36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5A4F71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516803B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5018DE4D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E65E3C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DF3940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9E47ED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F72796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9D4F8F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7B10B9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C91A24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4FF959B2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48BF4F8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D0D121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D84ED4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19348F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B3D1CF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7271F6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06DF23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8F248E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2010-11-01T11:32:00Z</dcterms:created>
  <cp:lastModifiedBy>Ethan Puglia</cp:lastModifiedBy>
  <cp:lastPrinted>2010-11-01T11:20:00Z</cp:lastPrinted>
  <dcterms:modified xsi:type="dcterms:W3CDTF">2019-03-28T17:34:25Z</dcterms:modified>
  <cp:revision>6</cp:revision>
  <dc:title>PROYECTO DE ORDENANZA VIOLENCIA FAMILIAR</dc:title>
</cp:coreProperties>
</file>