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9C589B" Type="http://schemas.openxmlformats.org/officeDocument/2006/relationships/officeDocument" Target="/word/document.xml" /><Relationship Id="coreR379C589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8787</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Que el nueve de junio de dos mil diez venció el plazo del contrato de concesión del servicio de Distribución y Comercialización de Gas Natural Domiciliario;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pStyle w:val="P16"/>
        <w:spacing w:before="120"/>
        <w:ind w:left="425"/>
        <w:jc w:val="both"/>
        <w:rPr>
          <w:rStyle w:val="C3"/>
          <w:rFonts w:ascii="Courier New" w:hAnsi="Courier New"/>
          <w:b w:val="1"/>
          <w:sz w:val="24"/>
        </w:rPr>
      </w:pPr>
      <w:r>
        <w:rPr>
          <w:rStyle w:val="C3"/>
          <w:rFonts w:ascii="Courier New" w:hAnsi="Courier New"/>
          <w:b w:val="0"/>
          <w:sz w:val="24"/>
        </w:rPr>
        <w:t xml:space="preserve">Que, si bien el plazo contractual se encuentra vencido, la ley nacional 24.076 establece en su reglamentación, Subanexo I de Reglas Básicas, del Anexo B, Decreto 2255/92, punto 4.2.2, que es obligación específica de la licenciataria Operar la Red de Distribución y prestar el Servicio Licenciado  en forma regular y continua salvo casos de emergencia, caso fortuito o fuerza mayor o situaciones que cuenten con la conformidad de la Autoridad Regulatoria;</w:t>
      </w:r>
    </w:p>
    <w:p>
      <w:pPr>
        <w:pStyle w:val="P16"/>
        <w:spacing w:before="120"/>
        <w:ind w:left="425"/>
        <w:jc w:val="both"/>
        <w:rPr>
          <w:rStyle w:val="C3"/>
          <w:rFonts w:ascii="Courier New" w:hAnsi="Courier New"/>
          <w:b w:val="1"/>
          <w:sz w:val="24"/>
        </w:rPr>
      </w:pPr>
    </w:p>
    <w:p>
      <w:pPr>
        <w:ind w:left="425"/>
        <w:jc w:val="both"/>
        <w:rPr>
          <w:rStyle w:val="C3"/>
          <w:rFonts w:ascii="Courier New" w:hAnsi="Courier New"/>
          <w:i w:val="1"/>
        </w:rPr>
      </w:pPr>
      <w:r>
        <w:rPr>
          <w:rStyle w:val="C3"/>
          <w:rFonts w:ascii="Courier New" w:hAnsi="Courier New"/>
        </w:rPr>
        <w:t xml:space="preserve">Que, asimismo, el artículo 8 de la ley 24.076 establece que </w:t>
      </w:r>
      <w:r>
        <w:rPr>
          <w:rStyle w:val="C3"/>
          <w:rFonts w:ascii="Courier New" w:hAnsi="Courier New"/>
          <w:i w:val="1"/>
        </w:rPr>
        <w:t>“si la nueva habilitación no pudiese ser otorgada antes de la expiración de la habilitación precedente, el Ente Nacional Regulador del Gas podrá requerir al titular de esta última la continuación del servicio por un plazo no mayor de DOCE (12) meses, contados a partir de la fecha original de finalización de la habilitación anterior. Esta ampliación revestirá carácter o</w:t>
      </w:r>
      <w:r>
        <w:rPr>
          <w:rStyle w:val="C3"/>
          <w:rFonts w:ascii="Courier New" w:hAnsi="Courier New"/>
          <w:i w:val="1"/>
        </w:rPr>
        <w:t>bligatorio para el prestador”;</w:t>
      </w:r>
    </w:p>
    <w:p>
      <w:pPr>
        <w:ind w:left="425"/>
        <w:jc w:val="both"/>
        <w:rPr>
          <w:rStyle w:val="C3"/>
          <w:rFonts w:ascii="Courier New" w:hAnsi="Courier New"/>
          <w:i w:val="1"/>
        </w:rPr>
      </w:pPr>
    </w:p>
    <w:p>
      <w:pPr>
        <w:ind w:left="425"/>
        <w:jc w:val="both"/>
        <w:rPr>
          <w:rStyle w:val="C3"/>
          <w:rFonts w:ascii="Courier New" w:hAnsi="Courier New"/>
        </w:rPr>
      </w:pPr>
      <w:r>
        <w:rPr>
          <w:rStyle w:val="C3"/>
          <w:rFonts w:ascii="Courier New" w:hAnsi="Courier New"/>
        </w:rPr>
        <w:t>Que si bien dicho artículo no tiene relación directa con nuestro caso, lo cierto es que en este artículo se refleja el espíritu de la norma, el cual es mantener la prestación, garantizando el interés de los usuarios;</w:t>
      </w:r>
    </w:p>
    <w:p>
      <w:pPr>
        <w:pStyle w:val="P16"/>
        <w:spacing w:lineRule="auto" w:line="276" w:before="120" w:after="120"/>
        <w:ind w:left="426"/>
        <w:jc w:val="right"/>
        <w:rPr>
          <w:rStyle w:val="C3"/>
          <w:rFonts w:ascii="Courier New" w:hAnsi="Courier New"/>
          <w:b w:val="1"/>
          <w:sz w:val="24"/>
        </w:rPr>
      </w:pPr>
      <w:r>
        <w:rPr>
          <w:rStyle w:val="C3"/>
          <w:rFonts w:ascii="Courier New" w:hAnsi="Courier New"/>
          <w:b w:val="0"/>
          <w:sz w:val="24"/>
        </w:rPr>
        <w:t>...///</w:t>
      </w:r>
    </w:p>
    <w:p>
      <w:pPr>
        <w:pStyle w:val="P16"/>
        <w:spacing w:lineRule="auto" w:line="276" w:before="120" w:after="120"/>
        <w:ind w:left="426"/>
        <w:jc w:val="both"/>
        <w:rPr>
          <w:rStyle w:val="C3"/>
          <w:rFonts w:ascii="Courier New" w:hAnsi="Courier New"/>
          <w:b w:val="1"/>
          <w:sz w:val="24"/>
        </w:rPr>
      </w:pPr>
    </w:p>
    <w:p>
      <w:pPr>
        <w:pStyle w:val="P16"/>
        <w:spacing w:lineRule="auto" w:line="276" w:before="120" w:after="120"/>
        <w:ind w:left="426"/>
        <w:jc w:val="both"/>
        <w:rPr>
          <w:rStyle w:val="C3"/>
          <w:rFonts w:ascii="Courier New" w:hAnsi="Courier New"/>
          <w:b w:val="1"/>
          <w:sz w:val="24"/>
        </w:rPr>
      </w:pPr>
    </w:p>
    <w:p>
      <w:pPr>
        <w:pStyle w:val="P16"/>
        <w:spacing w:lineRule="auto" w:line="276" w:before="120" w:after="120"/>
        <w:ind w:left="426"/>
        <w:jc w:val="both"/>
        <w:rPr>
          <w:rStyle w:val="C3"/>
          <w:rFonts w:ascii="Courier New" w:hAnsi="Courier New"/>
          <w:b w:val="1"/>
          <w:sz w:val="24"/>
        </w:rPr>
      </w:pPr>
    </w:p>
    <w:p>
      <w:pPr>
        <w:pStyle w:val="P16"/>
        <w:spacing w:lineRule="auto" w:line="276" w:before="120" w:after="120"/>
        <w:ind w:left="426"/>
        <w:jc w:val="both"/>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6"/>
        <w:spacing w:lineRule="auto" w:line="276" w:before="120" w:after="120"/>
        <w:ind w:left="426"/>
        <w:jc w:val="both"/>
        <w:rPr>
          <w:rStyle w:val="C3"/>
          <w:rFonts w:ascii="Courier New" w:hAnsi="Courier New"/>
          <w:b w:val="1"/>
          <w:sz w:val="24"/>
        </w:rPr>
      </w:pPr>
      <w:r>
        <w:rPr>
          <w:rStyle w:val="C3"/>
          <w:rFonts w:ascii="Courier New" w:hAnsi="Courier New"/>
          <w:b w:val="0"/>
          <w:sz w:val="24"/>
        </w:rPr>
        <w:t>...///2.-</w:t>
      </w:r>
    </w:p>
    <w:p>
      <w:pPr>
        <w:pStyle w:val="P16"/>
        <w:ind w:left="425"/>
        <w:jc w:val="both"/>
        <w:rPr>
          <w:rStyle w:val="C3"/>
          <w:rFonts w:ascii="Courier New" w:hAnsi="Courier New"/>
          <w:b w:val="1"/>
          <w:sz w:val="24"/>
        </w:rPr>
      </w:pPr>
      <w:r>
        <w:rPr>
          <w:rStyle w:val="C3"/>
          <w:rFonts w:ascii="Courier New" w:hAnsi="Courier New"/>
          <w:b w:val="0"/>
          <w:sz w:val="24"/>
        </w:rPr>
        <w:t>Que la Distribuidora se expresó en el sentido de abandonar la prestación como concesionaria el día 08 de diciembre de dos mil diez, actitud que de ninguna manera se condice con el marco legal;</w:t>
      </w:r>
    </w:p>
    <w:p>
      <w:pPr>
        <w:pStyle w:val="P16"/>
        <w:ind w:left="425"/>
        <w:jc w:val="both"/>
        <w:rPr>
          <w:rStyle w:val="C3"/>
          <w:rFonts w:ascii="Courier New" w:hAnsi="Courier New"/>
          <w:b w:val="1"/>
          <w:sz w:val="24"/>
        </w:rPr>
      </w:pPr>
    </w:p>
    <w:p>
      <w:pPr>
        <w:pStyle w:val="P16"/>
        <w:ind w:left="425"/>
        <w:jc w:val="both"/>
        <w:rPr>
          <w:rStyle w:val="C3"/>
          <w:rFonts w:ascii="Courier New" w:hAnsi="Courier New"/>
          <w:b w:val="1"/>
          <w:sz w:val="24"/>
        </w:rPr>
      </w:pPr>
      <w:r>
        <w:rPr>
          <w:rStyle w:val="C3"/>
          <w:rFonts w:ascii="Courier New" w:hAnsi="Courier New"/>
          <w:b w:val="0"/>
          <w:sz w:val="24"/>
        </w:rPr>
        <w:t>Que, asimismo, la concesionaria no ha devuelto al Estado Municipal los bienes e instalaciones que recibió para la prestación, como así tampoco ha informado a este el estado en que restituirá el servicio;</w:t>
      </w:r>
    </w:p>
    <w:p>
      <w:pPr>
        <w:pStyle w:val="P16"/>
        <w:ind w:left="425"/>
        <w:jc w:val="both"/>
        <w:rPr>
          <w:rStyle w:val="C3"/>
          <w:rFonts w:ascii="Courier New" w:hAnsi="Courier New"/>
          <w:b w:val="1"/>
          <w:sz w:val="24"/>
        </w:rPr>
      </w:pPr>
    </w:p>
    <w:p>
      <w:pPr>
        <w:pStyle w:val="P16"/>
        <w:ind w:left="425"/>
        <w:jc w:val="both"/>
        <w:rPr>
          <w:rStyle w:val="C3"/>
          <w:rFonts w:ascii="Courier New" w:hAnsi="Courier New"/>
          <w:b w:val="1"/>
          <w:sz w:val="24"/>
        </w:rPr>
      </w:pPr>
      <w:r>
        <w:rPr>
          <w:rStyle w:val="C3"/>
          <w:rFonts w:ascii="Courier New" w:hAnsi="Courier New"/>
          <w:b w:val="0"/>
          <w:sz w:val="24"/>
        </w:rPr>
        <w:t>Que es necesario, y obligación de la empresa, acreditar que deja en buen estado las instalaciones y bienes que administró durante la concesión, como así también brindar al concedente toda la información y elementos necesarios para garantizar la continuidad del servicio a los usuarios, tal cual lo estipula el marco legal ya citado;</w:t>
      </w:r>
    </w:p>
    <w:p>
      <w:pPr>
        <w:pStyle w:val="P16"/>
        <w:ind w:left="425"/>
        <w:jc w:val="both"/>
        <w:rPr>
          <w:rStyle w:val="C3"/>
          <w:rFonts w:ascii="Courier New" w:hAnsi="Courier New"/>
          <w:b w:val="1"/>
          <w:sz w:val="24"/>
        </w:rPr>
      </w:pPr>
    </w:p>
    <w:p>
      <w:pPr>
        <w:pStyle w:val="P16"/>
        <w:ind w:left="425"/>
        <w:jc w:val="both"/>
        <w:rPr>
          <w:rStyle w:val="C3"/>
          <w:rFonts w:ascii="Courier New" w:hAnsi="Courier New"/>
          <w:b w:val="1"/>
          <w:sz w:val="24"/>
        </w:rPr>
      </w:pPr>
      <w:r>
        <w:rPr>
          <w:rStyle w:val="C3"/>
          <w:rFonts w:ascii="Courier New" w:hAnsi="Courier New"/>
          <w:b w:val="0"/>
          <w:sz w:val="24"/>
        </w:rPr>
        <w:t>Que la información de la que dispone la concesionaria es pública al vincularse con la prestación de un servicio del mismo carácter que el Estado Municipal le concesionó, manteniendo su carácter de titular;</w:t>
      </w:r>
    </w:p>
    <w:p>
      <w:pPr>
        <w:pStyle w:val="P11"/>
        <w:jc w:val="right"/>
        <w:rPr>
          <w:rStyle w:val="C3"/>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aprobado por unanimidad en Sesión Extraordinaria del día 03 de Diciembre de 2010.-</w:t>
      </w: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4"/>
        <w:jc w:val="right"/>
        <w:rPr>
          <w:rStyle w:val="C3"/>
          <w:b w:val="1"/>
          <w:u w:val="none"/>
        </w:rPr>
      </w:pPr>
      <w:r>
        <w:rPr>
          <w:rStyle w:val="C3"/>
          <w:b w:val="0"/>
          <w:u w:val="none"/>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pPr>
      <w:r>
        <w:t>...///3.-</w:t>
      </w:r>
    </w:p>
    <w:p>
      <w:pPr>
        <w:ind w:hanging="360" w:left="360"/>
        <w:jc w:val="both"/>
        <w:rPr>
          <w:rStyle w:val="C3"/>
          <w:rFonts w:ascii="Courier New" w:hAnsi="Courier New"/>
          <w:b w:val="1"/>
          <w:u w:val="single"/>
        </w:rPr>
      </w:pPr>
    </w:p>
    <w:p>
      <w:pPr>
        <w:spacing w:before="120" w:after="120"/>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SOLICITASE</w:t>
      </w:r>
      <w:r>
        <w:rPr>
          <w:rStyle w:val="C3"/>
          <w:rFonts w:ascii="Courier New" w:hAnsi="Courier New"/>
        </w:rPr>
        <w:t xml:space="preserve"> al Departamento Ejecutivo intime a la  Distribuidora de Gas del Centro SA a continuar prestando el servicio hasta el 8 de junio de dos mil once o hasta hallarse el servicio en manos de un nuevo concesionario, en un todo de acuerdo con la Ley Nacional 24.076 que establece en su reglamentación, Subanexo I de Reglas Básicas, Anexo B, Decreto 2255/92, punto 4.2.2, que fija como obligación especifica de la licenciataria operar la Red de distribución y prestar el servicio licenciado en forma regular y continua salvo en caso de emergencia, caso fortuito o fuerza mayor o situaciones que cuenten con la conformidad de la Autoridad de aplicación.-</w:t>
      </w:r>
    </w:p>
    <w:p>
      <w:pPr>
        <w:spacing w:before="120" w:after="120"/>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SOLICITASE</w:t>
      </w:r>
      <w:r>
        <w:rPr>
          <w:rStyle w:val="C3"/>
          <w:rFonts w:ascii="Courier New" w:hAnsi="Courier New"/>
        </w:rPr>
        <w:t xml:space="preserve"> al Departamento Ejecutivo  exija a La Distribuidora de Gas del Centro SA el suministro al Estado Municipal de la siguiente información:</w:t>
      </w:r>
    </w:p>
    <w:p>
      <w:pPr>
        <w:numPr>
          <w:ilvl w:val="0"/>
          <w:numId w:val="33"/>
        </w:numPr>
        <w:jc w:val="both"/>
        <w:rPr>
          <w:rStyle w:val="C3"/>
          <w:rFonts w:ascii="Courier New" w:hAnsi="Courier New"/>
        </w:rPr>
      </w:pPr>
      <w:r>
        <w:rPr>
          <w:rStyle w:val="C3"/>
          <w:rFonts w:ascii="Courier New" w:hAnsi="Courier New"/>
        </w:rPr>
        <w:t>Listado detallado del total de los usuarios, con perfecta determinación de las características técnicas de los casos en que no sean meramente domiciliarios;</w:t>
      </w:r>
    </w:p>
    <w:p>
      <w:pPr>
        <w:numPr>
          <w:ilvl w:val="0"/>
          <w:numId w:val="33"/>
        </w:numPr>
        <w:jc w:val="both"/>
        <w:rPr>
          <w:rStyle w:val="C3"/>
          <w:rFonts w:ascii="Courier New" w:hAnsi="Courier New"/>
        </w:rPr>
      </w:pPr>
      <w:r>
        <w:rPr>
          <w:rStyle w:val="C3"/>
          <w:rFonts w:ascii="Courier New" w:hAnsi="Courier New"/>
        </w:rPr>
        <w:t xml:space="preserve">Historia detallada de los consumos de la totalidad de los usuarios, cualquiera fuese su categoría, con expresa mención de  los casos destacables, y por el período del último año calendario;</w:t>
      </w:r>
    </w:p>
    <w:p>
      <w:pPr>
        <w:numPr>
          <w:ilvl w:val="0"/>
          <w:numId w:val="33"/>
        </w:numPr>
        <w:jc w:val="both"/>
        <w:rPr>
          <w:rStyle w:val="C3"/>
          <w:rFonts w:ascii="Courier New" w:hAnsi="Courier New"/>
        </w:rPr>
      </w:pPr>
      <w:r>
        <w:rPr>
          <w:rStyle w:val="C3"/>
          <w:rFonts w:ascii="Courier New" w:hAnsi="Courier New"/>
        </w:rPr>
        <w:t>Informe de las acreencias relacionadas a los servicios concesionados;</w:t>
      </w:r>
    </w:p>
    <w:p>
      <w:pPr>
        <w:numPr>
          <w:ilvl w:val="0"/>
          <w:numId w:val="33"/>
        </w:numPr>
        <w:jc w:val="both"/>
        <w:rPr>
          <w:rStyle w:val="C3"/>
          <w:rFonts w:ascii="Courier New" w:hAnsi="Courier New"/>
        </w:rPr>
      </w:pPr>
      <w:r>
        <w:rPr>
          <w:rStyle w:val="C3"/>
          <w:rFonts w:ascii="Courier New" w:hAnsi="Courier New"/>
        </w:rPr>
        <w:t>Minucioso informe sobre el estado técnico y operativo de la red de gas domiciliario que se le confiara a través de la concesión, incluidas las ampliaciones que autorizara esa concesionaria durante todo el período que duró su administración;</w:t>
      </w:r>
    </w:p>
    <w:p>
      <w:pPr>
        <w:numPr>
          <w:ilvl w:val="0"/>
          <w:numId w:val="33"/>
        </w:numPr>
        <w:jc w:val="both"/>
        <w:rPr>
          <w:rStyle w:val="C3"/>
          <w:rFonts w:ascii="Courier New" w:hAnsi="Courier New"/>
        </w:rPr>
      </w:pPr>
      <w:r>
        <w:rPr>
          <w:rStyle w:val="C3"/>
          <w:rFonts w:ascii="Courier New" w:hAnsi="Courier New"/>
        </w:rPr>
        <w:t xml:space="preserve">Pormenorizado  informe sobre cualquier modificación que se hubiese introducido a la red domiciliaria original que se le entregara en concesión, y cuya construcción fue asumida por esta Ciudad;</w:t>
      </w:r>
    </w:p>
    <w:p>
      <w:pPr>
        <w:ind w:left="1068"/>
        <w:jc w:val="both"/>
        <w:rPr>
          <w:rStyle w:val="C3"/>
          <w:rFonts w:ascii="Courier New" w:hAnsi="Courier New"/>
        </w:rPr>
      </w:pPr>
    </w:p>
    <w:p>
      <w:pPr>
        <w:ind w:left="1068"/>
        <w:jc w:val="right"/>
        <w:rPr>
          <w:rStyle w:val="C3"/>
          <w:rFonts w:ascii="Courier New" w:hAnsi="Courier New"/>
        </w:rPr>
      </w:pPr>
      <w:r>
        <w:rPr>
          <w:rStyle w:val="C3"/>
          <w:rFonts w:ascii="Courier New" w:hAnsi="Courier New"/>
        </w:rPr>
        <w:t>...///</w:t>
      </w: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ind w:left="1068"/>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pPr>
      <w:r>
        <w:t>...///4.-</w:t>
      </w:r>
    </w:p>
    <w:p>
      <w:pPr>
        <w:pStyle w:val="P11"/>
        <w:jc w:val="left"/>
      </w:pPr>
    </w:p>
    <w:p>
      <w:pPr>
        <w:numPr>
          <w:ilvl w:val="0"/>
          <w:numId w:val="33"/>
        </w:numPr>
        <w:jc w:val="both"/>
        <w:rPr>
          <w:rStyle w:val="C3"/>
          <w:rFonts w:ascii="Courier New" w:hAnsi="Courier New"/>
        </w:rPr>
      </w:pPr>
      <w:r>
        <w:rPr>
          <w:rStyle w:val="C3"/>
          <w:rFonts w:ascii="Courier New" w:hAnsi="Courier New"/>
        </w:rPr>
        <w:t>Detallado informe técnico y operativo sobre las ampliaciones a la red de distribución domiciliaria de gas que le fuera entregada en su oportunidad, debiendo acompañar plano donde consten tales ampliaciones, sus características especiales si las hubiere, diferenciando los servicios domiciliarios de los comerciales;</w:t>
      </w:r>
    </w:p>
    <w:p>
      <w:pPr>
        <w:numPr>
          <w:ilvl w:val="0"/>
          <w:numId w:val="33"/>
        </w:numPr>
        <w:jc w:val="both"/>
        <w:rPr>
          <w:rStyle w:val="C3"/>
          <w:rFonts w:ascii="Courier New" w:hAnsi="Courier New"/>
        </w:rPr>
      </w:pPr>
      <w:r>
        <w:rPr>
          <w:rStyle w:val="C3"/>
          <w:rFonts w:ascii="Courier New" w:hAnsi="Courier New"/>
        </w:rPr>
        <w:t>Simulación de la red;</w:t>
      </w:r>
    </w:p>
    <w:p>
      <w:pPr>
        <w:numPr>
          <w:ilvl w:val="0"/>
          <w:numId w:val="33"/>
        </w:numPr>
        <w:jc w:val="both"/>
        <w:rPr>
          <w:rStyle w:val="C3"/>
          <w:rFonts w:ascii="Courier New" w:hAnsi="Courier New"/>
        </w:rPr>
      </w:pPr>
      <w:r>
        <w:rPr>
          <w:rStyle w:val="C3"/>
          <w:rFonts w:ascii="Courier New" w:hAnsi="Courier New"/>
        </w:rPr>
        <w:t>Informe pormenorizado del estado técnico y operativo del gasoducto Córdoba-Alta Gracia, incluyendo detallada descripción del programa de mantenimiento que sobre el mismo se ha aplicado en todo el período de concesión;</w:t>
      </w:r>
    </w:p>
    <w:p>
      <w:pPr>
        <w:numPr>
          <w:ilvl w:val="0"/>
          <w:numId w:val="33"/>
        </w:numPr>
        <w:jc w:val="both"/>
        <w:rPr>
          <w:rStyle w:val="C3"/>
          <w:rFonts w:ascii="Courier New" w:hAnsi="Courier New"/>
        </w:rPr>
      </w:pPr>
      <w:r>
        <w:rPr>
          <w:rStyle w:val="C3"/>
          <w:rFonts w:ascii="Courier New" w:hAnsi="Courier New"/>
        </w:rPr>
        <w:t xml:space="preserve">Informe pormenorizado del estado técnico y operativo  de  la  planta  de  reducción  y medición ubicada en el sector norte de esta  Ciudad, incluyendo detallada descripción del programa de mantenimiento que sobre el mismo se ha desarrollado en todo el período de concesión; </w:t>
      </w:r>
    </w:p>
    <w:p>
      <w:pPr>
        <w:numPr>
          <w:ilvl w:val="0"/>
          <w:numId w:val="33"/>
        </w:numPr>
        <w:jc w:val="both"/>
        <w:rPr>
          <w:rStyle w:val="C3"/>
          <w:rFonts w:ascii="Courier New" w:hAnsi="Courier New"/>
        </w:rPr>
      </w:pPr>
      <w:r>
        <w:rPr>
          <w:rStyle w:val="C3"/>
          <w:rFonts w:ascii="Courier New" w:hAnsi="Courier New"/>
        </w:rPr>
        <w:t>Listado completo de las solicitudes de nuevas conexiones denegadas por esa Distribuidora, diferenciándolas por sus causales de rechazo;</w:t>
      </w:r>
    </w:p>
    <w:p>
      <w:pPr>
        <w:numPr>
          <w:ilvl w:val="0"/>
          <w:numId w:val="33"/>
        </w:numPr>
        <w:jc w:val="both"/>
        <w:rPr>
          <w:rStyle w:val="C3"/>
          <w:rFonts w:ascii="Courier New" w:hAnsi="Courier New"/>
        </w:rPr>
      </w:pPr>
      <w:r>
        <w:rPr>
          <w:rStyle w:val="C3"/>
          <w:rFonts w:ascii="Courier New" w:hAnsi="Courier New"/>
        </w:rPr>
        <w:t>Informe sobre servicios pendientes;</w:t>
      </w:r>
    </w:p>
    <w:p>
      <w:pPr>
        <w:numPr>
          <w:ilvl w:val="0"/>
          <w:numId w:val="33"/>
        </w:numPr>
        <w:jc w:val="both"/>
        <w:rPr>
          <w:rStyle w:val="C3"/>
          <w:rFonts w:ascii="Courier New" w:hAnsi="Courier New"/>
        </w:rPr>
      </w:pPr>
      <w:r>
        <w:rPr>
          <w:rStyle w:val="C3"/>
          <w:rFonts w:ascii="Courier New" w:hAnsi="Courier New"/>
        </w:rPr>
        <w:t>Informe financiero de la administración llevada a cabo por esa Distribuidora, durante el período de concesión;</w:t>
      </w:r>
    </w:p>
    <w:p>
      <w:pPr>
        <w:numPr>
          <w:ilvl w:val="0"/>
          <w:numId w:val="33"/>
        </w:numPr>
        <w:jc w:val="both"/>
        <w:rPr>
          <w:rStyle w:val="C3"/>
          <w:rFonts w:ascii="Courier New" w:hAnsi="Courier New"/>
        </w:rPr>
      </w:pPr>
      <w:r>
        <w:rPr>
          <w:rStyle w:val="C3"/>
          <w:rFonts w:ascii="Courier New" w:hAnsi="Courier New"/>
        </w:rPr>
        <w:t xml:space="preserve">Necesidades técnicas y operativas a futuro en el gasoducto Córdoba-Alta Gracia, plantas reductoras y sistema de cañerías  de distribución domiciliaria que optimicen el servicio y resguarden en materia de seguridad.-</w:t>
      </w:r>
    </w:p>
    <w:p>
      <w:pPr>
        <w:ind w:left="1068"/>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Art.3</w:t>
      </w:r>
      <w:r>
        <w:rPr>
          <w:rStyle w:val="C3"/>
          <w:rFonts w:ascii="Courier New" w:hAnsi="Courier New"/>
          <w:b w:val="1"/>
        </w:rPr>
        <w:t>: COMUNÍQUESE</w:t>
      </w:r>
      <w:r>
        <w:rPr>
          <w:rStyle w:val="C3"/>
          <w:rFonts w:ascii="Courier New" w:hAnsi="Courier New"/>
        </w:rPr>
        <w:t xml:space="preserve"> todo lo actuado al Ente Nacional Regulador del Gas a su dependencia regional y nacional.-</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pPr>
      <w:r>
        <w:t>...///5.-</w:t>
      </w:r>
    </w:p>
    <w:p>
      <w:pPr>
        <w:jc w:val="right"/>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8079BA">
      <w:start w:val="0"/>
      <w:numFmt w:val="bullet"/>
      <w:suff w:val="tab"/>
      <w:lvlText w:val=""/>
      <w:lvlJc w:val="left"/>
      <w:pPr>
        <w:ind w:hanging="360" w:left="927"/>
      </w:pPr>
      <w:rPr>
        <w:rFonts w:ascii="Symbol" w:hAnsi="Symbol"/>
      </w:rPr>
    </w:lvl>
    <w:lvl w:ilvl="1" w:tplc="5168BB70">
      <w:start w:val="1"/>
      <w:numFmt w:val="bullet"/>
      <w:suff w:val="tab"/>
      <w:lvlText w:val="o"/>
      <w:lvlJc w:val="left"/>
      <w:pPr>
        <w:ind w:hanging="360" w:left="1647"/>
      </w:pPr>
      <w:rPr>
        <w:rFonts w:ascii="Courier New" w:hAnsi="Courier New"/>
      </w:rPr>
    </w:lvl>
    <w:lvl w:ilvl="2" w:tplc="7CEBA9CE">
      <w:start w:val="1"/>
      <w:numFmt w:val="bullet"/>
      <w:suff w:val="tab"/>
      <w:lvlText w:val=""/>
      <w:lvlJc w:val="left"/>
      <w:pPr>
        <w:ind w:hanging="360" w:left="2367"/>
      </w:pPr>
      <w:rPr>
        <w:rFonts w:ascii="Wingdings" w:hAnsi="Wingdings"/>
      </w:rPr>
    </w:lvl>
    <w:lvl w:ilvl="3" w:tplc="52D02200">
      <w:start w:val="1"/>
      <w:numFmt w:val="bullet"/>
      <w:suff w:val="tab"/>
      <w:lvlText w:val=""/>
      <w:lvlJc w:val="left"/>
      <w:pPr>
        <w:ind w:hanging="360" w:left="3087"/>
      </w:pPr>
      <w:rPr>
        <w:rFonts w:ascii="Symbol" w:hAnsi="Symbol"/>
      </w:rPr>
    </w:lvl>
    <w:lvl w:ilvl="4" w:tplc="3B1FEAE9">
      <w:start w:val="1"/>
      <w:numFmt w:val="bullet"/>
      <w:suff w:val="tab"/>
      <w:lvlText w:val="o"/>
      <w:lvlJc w:val="left"/>
      <w:pPr>
        <w:ind w:hanging="360" w:left="3807"/>
      </w:pPr>
      <w:rPr>
        <w:rFonts w:ascii="Courier New" w:hAnsi="Courier New"/>
      </w:rPr>
    </w:lvl>
    <w:lvl w:ilvl="5" w:tplc="7A1E8469">
      <w:start w:val="1"/>
      <w:numFmt w:val="bullet"/>
      <w:suff w:val="tab"/>
      <w:lvlText w:val=""/>
      <w:lvlJc w:val="left"/>
      <w:pPr>
        <w:ind w:hanging="360" w:left="4527"/>
      </w:pPr>
      <w:rPr>
        <w:rFonts w:ascii="Wingdings" w:hAnsi="Wingdings"/>
      </w:rPr>
    </w:lvl>
    <w:lvl w:ilvl="6" w:tplc="0CD2F041">
      <w:start w:val="1"/>
      <w:numFmt w:val="bullet"/>
      <w:suff w:val="tab"/>
      <w:lvlText w:val=""/>
      <w:lvlJc w:val="left"/>
      <w:pPr>
        <w:ind w:hanging="360" w:left="5247"/>
      </w:pPr>
      <w:rPr>
        <w:rFonts w:ascii="Symbol" w:hAnsi="Symbol"/>
      </w:rPr>
    </w:lvl>
    <w:lvl w:ilvl="7" w:tplc="24EDED31">
      <w:start w:val="1"/>
      <w:numFmt w:val="bullet"/>
      <w:suff w:val="tab"/>
      <w:lvlText w:val="o"/>
      <w:lvlJc w:val="left"/>
      <w:pPr>
        <w:ind w:hanging="360" w:left="5967"/>
      </w:pPr>
      <w:rPr>
        <w:rFonts w:ascii="Courier New" w:hAnsi="Courier New"/>
      </w:rPr>
    </w:lvl>
    <w:lvl w:ilvl="8" w:tplc="484EE4A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995C076">
      <w:start w:val="0"/>
      <w:numFmt w:val="bullet"/>
      <w:suff w:val="tab"/>
      <w:lvlText w:val="-"/>
      <w:lvlJc w:val="left"/>
      <w:pPr>
        <w:ind w:hanging="360" w:left="720"/>
        <w:tabs>
          <w:tab w:val="left" w:pos="720" w:leader="none"/>
        </w:tabs>
      </w:pPr>
      <w:rPr>
        <w:rFonts w:ascii="Times New Roman" w:hAnsi="Times New Roman"/>
      </w:rPr>
    </w:lvl>
    <w:lvl w:ilvl="1" w:tplc="089F7099">
      <w:start w:val="1"/>
      <w:numFmt w:val="bullet"/>
      <w:suff w:val="tab"/>
      <w:lvlText w:val="o"/>
      <w:lvlJc w:val="left"/>
      <w:pPr>
        <w:ind w:hanging="360" w:left="1440"/>
        <w:tabs>
          <w:tab w:val="left" w:pos="1440" w:leader="none"/>
        </w:tabs>
      </w:pPr>
      <w:rPr>
        <w:rFonts w:ascii="Courier New" w:hAnsi="Courier New"/>
      </w:rPr>
    </w:lvl>
    <w:lvl w:ilvl="2" w:tplc="39BA96C1">
      <w:start w:val="1"/>
      <w:numFmt w:val="bullet"/>
      <w:suff w:val="tab"/>
      <w:lvlText w:val=""/>
      <w:lvlJc w:val="left"/>
      <w:pPr>
        <w:ind w:hanging="360" w:left="2160"/>
        <w:tabs>
          <w:tab w:val="left" w:pos="2160" w:leader="none"/>
        </w:tabs>
      </w:pPr>
      <w:rPr>
        <w:rFonts w:ascii="Wingdings" w:hAnsi="Wingdings"/>
      </w:rPr>
    </w:lvl>
    <w:lvl w:ilvl="3" w:tplc="76AF002C">
      <w:start w:val="1"/>
      <w:numFmt w:val="bullet"/>
      <w:suff w:val="tab"/>
      <w:lvlText w:val=""/>
      <w:lvlJc w:val="left"/>
      <w:pPr>
        <w:ind w:hanging="360" w:left="2880"/>
        <w:tabs>
          <w:tab w:val="left" w:pos="2880" w:leader="none"/>
        </w:tabs>
      </w:pPr>
      <w:rPr>
        <w:rFonts w:ascii="Symbol" w:hAnsi="Symbol"/>
      </w:rPr>
    </w:lvl>
    <w:lvl w:ilvl="4" w:tplc="7DFAC37C">
      <w:start w:val="1"/>
      <w:numFmt w:val="bullet"/>
      <w:suff w:val="tab"/>
      <w:lvlText w:val="o"/>
      <w:lvlJc w:val="left"/>
      <w:pPr>
        <w:ind w:hanging="360" w:left="3600"/>
        <w:tabs>
          <w:tab w:val="left" w:pos="3600" w:leader="none"/>
        </w:tabs>
      </w:pPr>
      <w:rPr>
        <w:rFonts w:ascii="Courier New" w:hAnsi="Courier New"/>
      </w:rPr>
    </w:lvl>
    <w:lvl w:ilvl="5" w:tplc="38D3FC45">
      <w:start w:val="1"/>
      <w:numFmt w:val="bullet"/>
      <w:suff w:val="tab"/>
      <w:lvlText w:val=""/>
      <w:lvlJc w:val="left"/>
      <w:pPr>
        <w:ind w:hanging="360" w:left="4320"/>
        <w:tabs>
          <w:tab w:val="left" w:pos="4320" w:leader="none"/>
        </w:tabs>
      </w:pPr>
      <w:rPr>
        <w:rFonts w:ascii="Wingdings" w:hAnsi="Wingdings"/>
      </w:rPr>
    </w:lvl>
    <w:lvl w:ilvl="6" w:tplc="35F9CC7F">
      <w:start w:val="1"/>
      <w:numFmt w:val="bullet"/>
      <w:suff w:val="tab"/>
      <w:lvlText w:val=""/>
      <w:lvlJc w:val="left"/>
      <w:pPr>
        <w:ind w:hanging="360" w:left="5040"/>
        <w:tabs>
          <w:tab w:val="left" w:pos="5040" w:leader="none"/>
        </w:tabs>
      </w:pPr>
      <w:rPr>
        <w:rFonts w:ascii="Symbol" w:hAnsi="Symbol"/>
      </w:rPr>
    </w:lvl>
    <w:lvl w:ilvl="7" w:tplc="0BDC486B">
      <w:start w:val="1"/>
      <w:numFmt w:val="bullet"/>
      <w:suff w:val="tab"/>
      <w:lvlText w:val="o"/>
      <w:lvlJc w:val="left"/>
      <w:pPr>
        <w:ind w:hanging="360" w:left="5760"/>
        <w:tabs>
          <w:tab w:val="left" w:pos="5760" w:leader="none"/>
        </w:tabs>
      </w:pPr>
      <w:rPr>
        <w:rFonts w:ascii="Courier New" w:hAnsi="Courier New"/>
      </w:rPr>
    </w:lvl>
    <w:lvl w:ilvl="8" w:tplc="4E3FB9E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589664D">
      <w:start w:val="1"/>
      <w:numFmt w:val="bullet"/>
      <w:suff w:val="tab"/>
      <w:lvlText w:val=""/>
      <w:lvlJc w:val="left"/>
      <w:pPr>
        <w:ind w:hanging="360" w:left="720"/>
        <w:tabs>
          <w:tab w:val="left" w:pos="720" w:leader="none"/>
        </w:tabs>
      </w:pPr>
      <w:rPr>
        <w:rFonts w:ascii="Symbol" w:hAnsi="Symbol"/>
      </w:rPr>
    </w:lvl>
    <w:lvl w:ilvl="1" w:tplc="5A30F51B">
      <w:start w:val="1"/>
      <w:numFmt w:val="bullet"/>
      <w:suff w:val="tab"/>
      <w:lvlText w:val="o"/>
      <w:lvlJc w:val="left"/>
      <w:pPr>
        <w:ind w:hanging="360" w:left="1440"/>
        <w:tabs>
          <w:tab w:val="left" w:pos="1440" w:leader="none"/>
        </w:tabs>
      </w:pPr>
      <w:rPr>
        <w:rFonts w:ascii="Courier New" w:hAnsi="Courier New"/>
      </w:rPr>
    </w:lvl>
    <w:lvl w:ilvl="2" w:tplc="690D45C3">
      <w:start w:val="1"/>
      <w:numFmt w:val="bullet"/>
      <w:suff w:val="tab"/>
      <w:lvlText w:val=""/>
      <w:lvlJc w:val="left"/>
      <w:pPr>
        <w:ind w:hanging="360" w:left="2160"/>
        <w:tabs>
          <w:tab w:val="left" w:pos="2160" w:leader="none"/>
        </w:tabs>
      </w:pPr>
      <w:rPr>
        <w:rFonts w:ascii="Wingdings" w:hAnsi="Wingdings"/>
      </w:rPr>
    </w:lvl>
    <w:lvl w:ilvl="3" w:tplc="13893F97">
      <w:start w:val="1"/>
      <w:numFmt w:val="bullet"/>
      <w:suff w:val="tab"/>
      <w:lvlText w:val=""/>
      <w:lvlJc w:val="left"/>
      <w:pPr>
        <w:ind w:hanging="360" w:left="2880"/>
        <w:tabs>
          <w:tab w:val="left" w:pos="2880" w:leader="none"/>
        </w:tabs>
      </w:pPr>
      <w:rPr>
        <w:rFonts w:ascii="Symbol" w:hAnsi="Symbol"/>
      </w:rPr>
    </w:lvl>
    <w:lvl w:ilvl="4" w:tplc="2030E839">
      <w:start w:val="1"/>
      <w:numFmt w:val="bullet"/>
      <w:suff w:val="tab"/>
      <w:lvlText w:val="o"/>
      <w:lvlJc w:val="left"/>
      <w:pPr>
        <w:ind w:hanging="360" w:left="3600"/>
        <w:tabs>
          <w:tab w:val="left" w:pos="3600" w:leader="none"/>
        </w:tabs>
      </w:pPr>
      <w:rPr>
        <w:rFonts w:ascii="Courier New" w:hAnsi="Courier New"/>
      </w:rPr>
    </w:lvl>
    <w:lvl w:ilvl="5" w:tplc="2AE78104">
      <w:start w:val="1"/>
      <w:numFmt w:val="bullet"/>
      <w:suff w:val="tab"/>
      <w:lvlText w:val=""/>
      <w:lvlJc w:val="left"/>
      <w:pPr>
        <w:ind w:hanging="360" w:left="4320"/>
        <w:tabs>
          <w:tab w:val="left" w:pos="4320" w:leader="none"/>
        </w:tabs>
      </w:pPr>
      <w:rPr>
        <w:rFonts w:ascii="Wingdings" w:hAnsi="Wingdings"/>
      </w:rPr>
    </w:lvl>
    <w:lvl w:ilvl="6" w:tplc="2094A627">
      <w:start w:val="1"/>
      <w:numFmt w:val="bullet"/>
      <w:suff w:val="tab"/>
      <w:lvlText w:val=""/>
      <w:lvlJc w:val="left"/>
      <w:pPr>
        <w:ind w:hanging="360" w:left="5040"/>
        <w:tabs>
          <w:tab w:val="left" w:pos="5040" w:leader="none"/>
        </w:tabs>
      </w:pPr>
      <w:rPr>
        <w:rFonts w:ascii="Symbol" w:hAnsi="Symbol"/>
      </w:rPr>
    </w:lvl>
    <w:lvl w:ilvl="7" w:tplc="30FAF3BE">
      <w:start w:val="1"/>
      <w:numFmt w:val="bullet"/>
      <w:suff w:val="tab"/>
      <w:lvlText w:val="o"/>
      <w:lvlJc w:val="left"/>
      <w:pPr>
        <w:ind w:hanging="360" w:left="5760"/>
        <w:tabs>
          <w:tab w:val="left" w:pos="5760" w:leader="none"/>
        </w:tabs>
      </w:pPr>
      <w:rPr>
        <w:rFonts w:ascii="Courier New" w:hAnsi="Courier New"/>
      </w:rPr>
    </w:lvl>
    <w:lvl w:ilvl="8" w:tplc="6C65A223">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14CD90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2"/>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1"/>
  </w:num>
  <w:num w:numId="27">
    <w:abstractNumId w:val="2"/>
  </w:num>
  <w:num w:numId="28">
    <w:abstractNumId w:val="22"/>
  </w:num>
  <w:num w:numId="29">
    <w:abstractNumId w:val="5"/>
  </w:num>
  <w:num w:numId="30">
    <w:abstractNumId w:val="14"/>
  </w:num>
  <w:num w:numId="31">
    <w:abstractNumId w:val="0"/>
  </w:num>
  <w:num w:numId="32">
    <w:abstractNumId w:val="12"/>
  </w:num>
  <w:num w:numId="33">
    <w:abstractNumId w:val="3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2010-12-07T12:52:00Z</dcterms:created>
  <cp:lastModifiedBy>Ethan Puglia</cp:lastModifiedBy>
  <cp:lastPrinted>2010-12-07T14:09:00Z</cp:lastPrinted>
  <dcterms:modified xsi:type="dcterms:W3CDTF">2019-03-28T17:34:27Z</dcterms:modified>
  <cp:revision>5</cp:revision>
  <dc:title>PROYECTO DE ORDENANZA VIOLENCIA FAMILIAR</dc:title>
</cp:coreProperties>
</file>