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51B6140" Type="http://schemas.openxmlformats.org/officeDocument/2006/relationships/officeDocument" Target="/word/document.xml" /><Relationship Id="coreR551B614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8796</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La nota presentada  por el “Centro de Comercio, Industria y Turismo de Alta Gracia y sus Sierras”; y</w:t>
      </w: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a través de la misma, sus autoridades plantean motivaciones de asociados referidas a la intervención urbanística en Plaza Solares de nuestra ciudad;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mediante Ordenanza N°8346( 19 de Diciembre de 2008), el Honorable Concejo Deliberante ratificó en todos sus términos el Convenio celebrado entre el Gobierno de la Provincia de Córdoba y la Municipalidad de Alta Gracia para la ejecución de la Obra “Unificación Espacial y Puesta en Valor del Conjunto Jesuítico de Alta Gracia”;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el convenio de referencia en su clausula séptima fija como fecha de culminación de obra el termino de (18)dieciocho meses a contar de la fecha de replanteo de los trabajos debidamente suscripto por ambas partes (Junio de 2009);</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si bien la ejecución de obra se encuentra en los términos  contractuales oportunamente prefijados y a pesar del compromiso manifestado públicamente por Autoridades Provinciales de finalización de obra para el transcurso del mes de Setiembre del corriente, el Estado Municipal es consciente de la  afectación  en el normal giro comercial de los frentistas por la dilación en la culminación de las labores;</w:t>
      </w:r>
    </w:p>
    <w:p>
      <w:pPr>
        <w:ind w:left="426"/>
        <w:jc w:val="right"/>
        <w:rPr>
          <w:rStyle w:val="C3"/>
          <w:rFonts w:ascii="Courier New" w:hAnsi="Courier New"/>
        </w:rPr>
      </w:pPr>
      <w:r>
        <w:rPr>
          <w:rStyle w:val="C3"/>
          <w:rFonts w:ascii="Courier New" w:hAnsi="Courier New"/>
        </w:rPr>
        <w:t>...///</w:t>
      </w: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right"/>
        <w:rPr>
          <w:rStyle w:val="C3"/>
          <w:rFonts w:ascii="Courier New" w:hAnsi="Courier New"/>
        </w:rPr>
      </w:pPr>
    </w:p>
    <w:p>
      <w:pPr>
        <w:rPr>
          <w:rStyle w:val="C3"/>
          <w:rFonts w:ascii="Courier New" w:hAnsi="Courier New"/>
        </w:rPr>
      </w:pPr>
      <w:r>
        <w:rPr>
          <w:rStyle w:val="C3"/>
          <w:rFonts w:ascii="Courier New" w:hAnsi="Courier New"/>
        </w:rPr>
        <w:t>...///2.-</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es necesario, oportuno y conveniente considerar el planteo efectuado por las autoridades  de la institución de referencia a los efectos de morigerar impositivamente la situación por la que atraviesan  los comerciantes del sector;</w:t>
      </w:r>
    </w:p>
    <w:p>
      <w:pPr>
        <w:pStyle w:val="P11"/>
        <w:jc w:val="left"/>
        <w:rPr>
          <w:rStyle w:val="C3"/>
        </w:rPr>
      </w:pPr>
    </w:p>
    <w:p>
      <w:pPr>
        <w:ind w:left="426"/>
        <w:jc w:val="both"/>
        <w:rPr>
          <w:rStyle w:val="C3"/>
          <w:rFonts w:ascii="Courier New" w:hAnsi="Courier New"/>
        </w:rPr>
      </w:pPr>
      <w:r>
        <w:rPr>
          <w:rStyle w:val="C3"/>
          <w:rFonts w:ascii="Courier New" w:hAnsi="Courier New"/>
        </w:rPr>
        <w:t xml:space="preserve">Que analizado el Proyecto de Ordenanza  de la Comisión de Hacienda, la misma,  emite despacho favorable aprobado por unanimidad en Sesión Extraordinaria del día 03 de Diciembre de 2010.-</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jc w:val="right"/>
        <w:rPr>
          <w:rStyle w:val="C3"/>
          <w:rFonts w:ascii="Courier New" w:hAnsi="Courier New"/>
        </w:rPr>
      </w:pPr>
    </w:p>
    <w:p>
      <w:pPr>
        <w:jc w:val="right"/>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EXÍMASE </w:t>
      </w:r>
      <w:r>
        <w:rPr>
          <w:rStyle w:val="C3"/>
          <w:rFonts w:ascii="Courier New" w:hAnsi="Courier New"/>
        </w:rPr>
        <w:t>del pago de la Tasa por Servicios de Inspección General e Higiene (Comercio e Industria) a los contribuyentes frentistas de Plaza Solares, calle Padre Domingo Viera (Nº1 al Nº100) y calle Solares ( Nº 100 al Nº 200), desde Setiembre/10(inclusive) hasta el periodo en que se entregue a la Municipalidad de Alta Gracia, la Obra “Unificación Espacial y Puesta en Valor del Conjunto Jesuítico de Alta Gracia”, primera etapa.-</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PARA</w:t>
      </w:r>
      <w:r>
        <w:rPr>
          <w:rStyle w:val="C3"/>
          <w:rFonts w:ascii="Courier New" w:hAnsi="Courier New"/>
        </w:rPr>
        <w:t xml:space="preserve"> acogerse a los beneficios del artículo precedente, los contribuyentes afectados deberán poseer su Tasa por Servicios de Inspección General e Higiene (Comercio e Industria) al día o con plan de regularización de deuda iniciado con anterioridad al 30 de Diciembre de 2010.-</w:t>
      </w:r>
    </w:p>
    <w:p>
      <w:pPr>
        <w:jc w:val="right"/>
        <w:rPr>
          <w:rStyle w:val="C3"/>
          <w:rFonts w:ascii="Courier New" w:hAnsi="Courier New"/>
        </w:rPr>
      </w:pPr>
      <w:r>
        <w:rPr>
          <w:rStyle w:val="C3"/>
          <w:rFonts w:ascii="Courier New" w:hAnsi="Courier New"/>
        </w:rPr>
        <w:t>...///</w:t>
      </w:r>
    </w:p>
    <w:p>
      <w:pPr>
        <w:ind w:hanging="426" w:left="426"/>
        <w:rPr>
          <w:rStyle w:val="C3"/>
          <w:rFonts w:ascii="Courier New" w:hAnsi="Courier New"/>
          <w:b w:val="1"/>
          <w:u w:val="single"/>
        </w:rPr>
      </w:pPr>
    </w:p>
    <w:p>
      <w:pPr>
        <w:ind w:hanging="426" w:left="426"/>
        <w:rPr>
          <w:rStyle w:val="C3"/>
          <w:rFonts w:ascii="Courier New" w:hAnsi="Courier New"/>
          <w:b w:val="1"/>
          <w:u w:val="single"/>
        </w:rPr>
      </w:pPr>
    </w:p>
    <w:p>
      <w:pPr>
        <w:ind w:hanging="426" w:left="426"/>
        <w:rPr>
          <w:rStyle w:val="C3"/>
          <w:rFonts w:ascii="Courier New" w:hAnsi="Courier New"/>
          <w:b w:val="1"/>
          <w:u w:val="single"/>
        </w:rPr>
      </w:pPr>
    </w:p>
    <w:p>
      <w:pPr>
        <w:ind w:hanging="426" w:left="426"/>
        <w:rPr>
          <w:rStyle w:val="C3"/>
          <w:rFonts w:ascii="Courier New" w:hAnsi="Courier New"/>
          <w:b w:val="1"/>
          <w:u w:val="single"/>
        </w:rPr>
      </w:pPr>
    </w:p>
    <w:p>
      <w:pPr>
        <w:ind w:hanging="426" w:left="426"/>
        <w:rPr>
          <w:rStyle w:val="C3"/>
          <w:rFonts w:ascii="Courier New" w:hAnsi="Courier New"/>
          <w:b w:val="1"/>
          <w:u w:val="single"/>
        </w:rPr>
      </w:pPr>
    </w:p>
    <w:p>
      <w:pPr>
        <w:ind w:hanging="426" w:left="426"/>
        <w:rPr>
          <w:rStyle w:val="C3"/>
          <w:rFonts w:ascii="Courier New" w:hAnsi="Courier New"/>
          <w:b w:val="1"/>
          <w:u w:val="single"/>
        </w:rPr>
      </w:pPr>
    </w:p>
    <w:p>
      <w:pPr>
        <w:ind w:hanging="426" w:left="426"/>
        <w:rPr>
          <w:rStyle w:val="C3"/>
          <w:rFonts w:ascii="Courier New" w:hAnsi="Courier New"/>
          <w:b w:val="1"/>
          <w:u w:val="single"/>
        </w:rPr>
      </w:pPr>
    </w:p>
    <w:p>
      <w:pPr>
        <w:ind w:hanging="426" w:left="426"/>
        <w:rPr>
          <w:rStyle w:val="C3"/>
          <w:rFonts w:ascii="Courier New" w:hAnsi="Courier New"/>
          <w:b w:val="1"/>
          <w:u w:val="single"/>
        </w:rPr>
      </w:pPr>
    </w:p>
    <w:p>
      <w:pPr>
        <w:ind w:hanging="426" w:left="426"/>
        <w:rPr>
          <w:rStyle w:val="C3"/>
          <w:rFonts w:ascii="Courier New" w:hAnsi="Courier New"/>
          <w:b w:val="1"/>
          <w:u w:val="single"/>
        </w:rPr>
      </w:pPr>
    </w:p>
    <w:p>
      <w:pPr>
        <w:ind w:hanging="426" w:left="426"/>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right"/>
        <w:rPr>
          <w:rStyle w:val="C3"/>
          <w:rFonts w:ascii="Courier New" w:hAnsi="Courier New"/>
        </w:rPr>
      </w:pPr>
    </w:p>
    <w:p>
      <w:pPr>
        <w:rPr>
          <w:rStyle w:val="C3"/>
          <w:rFonts w:ascii="Courier New" w:hAnsi="Courier New"/>
        </w:rPr>
      </w:pPr>
      <w:r>
        <w:rPr>
          <w:rStyle w:val="C3"/>
          <w:rFonts w:ascii="Courier New" w:hAnsi="Courier New"/>
        </w:rPr>
        <w:t>...///3.-</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 3</w:t>
      </w:r>
      <w:r>
        <w:rPr>
          <w:rStyle w:val="C3"/>
          <w:rFonts w:ascii="Courier New" w:hAnsi="Courier New"/>
          <w:b w:val="1"/>
        </w:rPr>
        <w:t>:</w:t>
      </w:r>
      <w:r>
        <w:rPr>
          <w:rStyle w:val="C3"/>
          <w:rFonts w:ascii="Courier New" w:hAnsi="Courier New"/>
        </w:rPr>
        <w:t xml:space="preserve"> </w:t>
      </w:r>
      <w:r>
        <w:rPr>
          <w:rStyle w:val="C3"/>
          <w:rFonts w:ascii="Courier New" w:hAnsi="Courier New"/>
          <w:b w:val="1"/>
        </w:rPr>
        <w:t>QUEDAN</w:t>
      </w:r>
      <w:r>
        <w:rPr>
          <w:rStyle w:val="C3"/>
          <w:rFonts w:ascii="Courier New" w:hAnsi="Courier New"/>
        </w:rPr>
        <w:t xml:space="preserve"> exceptuadas de la presente Ordenanza las actividades comprendidas en la Ordenanza Tarifaria Nº 8531 según códigos: 82400.40, 82300.20 84100.30 y 91000.00 al 92000.00 (inclusive).-</w:t>
      </w:r>
    </w:p>
    <w:p>
      <w:pPr>
        <w:rPr>
          <w:rStyle w:val="C3"/>
          <w:rFonts w:ascii="Courier New" w:hAnsi="Courier New"/>
          <w:u w:val="single"/>
        </w:rPr>
      </w:pPr>
    </w:p>
    <w:p>
      <w:pPr>
        <w:ind w:hanging="426" w:left="426"/>
        <w:rPr>
          <w:rStyle w:val="C3"/>
          <w:rFonts w:ascii="Courier New" w:hAnsi="Courier New"/>
        </w:rPr>
      </w:pPr>
      <w:r>
        <w:rPr>
          <w:rStyle w:val="C3"/>
          <w:rFonts w:ascii="Courier New" w:hAnsi="Courier New"/>
          <w:b w:val="1"/>
          <w:u w:val="single"/>
        </w:rPr>
        <w:t>Art.4</w:t>
      </w:r>
      <w:r>
        <w:rPr>
          <w:rStyle w:val="C3"/>
          <w:rFonts w:ascii="Courier New" w:hAnsi="Courier New"/>
        </w:rPr>
        <w:t xml:space="preserve">: </w:t>
      </w:r>
      <w:r>
        <w:rPr>
          <w:rStyle w:val="C3"/>
          <w:rFonts w:ascii="Courier New" w:hAnsi="Courier New"/>
          <w:b w:val="1"/>
        </w:rPr>
        <w:t>COMPENSASE</w:t>
      </w:r>
      <w:r>
        <w:rPr>
          <w:rStyle w:val="C3"/>
          <w:rFonts w:ascii="Courier New" w:hAnsi="Courier New"/>
        </w:rPr>
        <w:t xml:space="preserve"> en periodos subsiguientes todos aquellos periodos abonados y comprendidos en el Artículo 1º</w:t>
      </w:r>
    </w:p>
    <w:p>
      <w:pPr>
        <w:ind w:hanging="426" w:left="426"/>
        <w:rPr>
          <w:rStyle w:val="C3"/>
          <w:rFonts w:ascii="Courier New" w:hAnsi="Courier New"/>
        </w:rPr>
      </w:pPr>
      <w:r>
        <w:rPr>
          <w:rStyle w:val="C3"/>
          <w:rFonts w:ascii="Courier New" w:hAnsi="Courier New"/>
        </w:rPr>
        <w:t xml:space="preserve"> de la presente.- </w:t>
      </w:r>
    </w:p>
    <w:p>
      <w:pPr>
        <w:ind w:hanging="426" w:left="426"/>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5</w:t>
      </w:r>
      <w:r>
        <w:rPr>
          <w:rStyle w:val="C3"/>
          <w:rFonts w:ascii="Courier New" w:hAnsi="Courier New"/>
          <w:b w:val="1"/>
        </w:rPr>
        <w:t>:</w:t>
      </w:r>
      <w:r>
        <w:rPr>
          <w:rStyle w:val="C3"/>
          <w:rFonts w:ascii="Courier New" w:hAnsi="Courier New"/>
          <w:b w:val="1"/>
        </w:rPr>
        <w:t xml:space="preserve">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TRES DÍAS DEL MES DE DICIEMBRE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0DD364BB">
      <w:start w:val="0"/>
      <w:numFmt w:val="bullet"/>
      <w:suff w:val="tab"/>
      <w:lvlText w:val=""/>
      <w:lvlJc w:val="left"/>
      <w:pPr>
        <w:ind w:hanging="360" w:left="927"/>
      </w:pPr>
      <w:rPr>
        <w:rFonts w:ascii="Symbol" w:hAnsi="Symbol"/>
      </w:rPr>
    </w:lvl>
    <w:lvl w:ilvl="1" w:tplc="78D51B6E">
      <w:start w:val="1"/>
      <w:numFmt w:val="bullet"/>
      <w:suff w:val="tab"/>
      <w:lvlText w:val="o"/>
      <w:lvlJc w:val="left"/>
      <w:pPr>
        <w:ind w:hanging="360" w:left="1647"/>
      </w:pPr>
      <w:rPr>
        <w:rFonts w:ascii="Courier New" w:hAnsi="Courier New"/>
      </w:rPr>
    </w:lvl>
    <w:lvl w:ilvl="2" w:tplc="78198D8B">
      <w:start w:val="1"/>
      <w:numFmt w:val="bullet"/>
      <w:suff w:val="tab"/>
      <w:lvlText w:val=""/>
      <w:lvlJc w:val="left"/>
      <w:pPr>
        <w:ind w:hanging="360" w:left="2367"/>
      </w:pPr>
      <w:rPr>
        <w:rFonts w:ascii="Wingdings" w:hAnsi="Wingdings"/>
      </w:rPr>
    </w:lvl>
    <w:lvl w:ilvl="3" w:tplc="6BF535E0">
      <w:start w:val="1"/>
      <w:numFmt w:val="bullet"/>
      <w:suff w:val="tab"/>
      <w:lvlText w:val=""/>
      <w:lvlJc w:val="left"/>
      <w:pPr>
        <w:ind w:hanging="360" w:left="3087"/>
      </w:pPr>
      <w:rPr>
        <w:rFonts w:ascii="Symbol" w:hAnsi="Symbol"/>
      </w:rPr>
    </w:lvl>
    <w:lvl w:ilvl="4" w:tplc="1F3ADAF7">
      <w:start w:val="1"/>
      <w:numFmt w:val="bullet"/>
      <w:suff w:val="tab"/>
      <w:lvlText w:val="o"/>
      <w:lvlJc w:val="left"/>
      <w:pPr>
        <w:ind w:hanging="360" w:left="3807"/>
      </w:pPr>
      <w:rPr>
        <w:rFonts w:ascii="Courier New" w:hAnsi="Courier New"/>
      </w:rPr>
    </w:lvl>
    <w:lvl w:ilvl="5" w:tplc="57E9D1D0">
      <w:start w:val="1"/>
      <w:numFmt w:val="bullet"/>
      <w:suff w:val="tab"/>
      <w:lvlText w:val=""/>
      <w:lvlJc w:val="left"/>
      <w:pPr>
        <w:ind w:hanging="360" w:left="4527"/>
      </w:pPr>
      <w:rPr>
        <w:rFonts w:ascii="Wingdings" w:hAnsi="Wingdings"/>
      </w:rPr>
    </w:lvl>
    <w:lvl w:ilvl="6" w:tplc="50E53CDA">
      <w:start w:val="1"/>
      <w:numFmt w:val="bullet"/>
      <w:suff w:val="tab"/>
      <w:lvlText w:val=""/>
      <w:lvlJc w:val="left"/>
      <w:pPr>
        <w:ind w:hanging="360" w:left="5247"/>
      </w:pPr>
      <w:rPr>
        <w:rFonts w:ascii="Symbol" w:hAnsi="Symbol"/>
      </w:rPr>
    </w:lvl>
    <w:lvl w:ilvl="7" w:tplc="6B2CFAE1">
      <w:start w:val="1"/>
      <w:numFmt w:val="bullet"/>
      <w:suff w:val="tab"/>
      <w:lvlText w:val="o"/>
      <w:lvlJc w:val="left"/>
      <w:pPr>
        <w:ind w:hanging="360" w:left="5967"/>
      </w:pPr>
      <w:rPr>
        <w:rFonts w:ascii="Courier New" w:hAnsi="Courier New"/>
      </w:rPr>
    </w:lvl>
    <w:lvl w:ilvl="8" w:tplc="4708CAFF">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0B623D25">
      <w:start w:val="0"/>
      <w:numFmt w:val="bullet"/>
      <w:suff w:val="tab"/>
      <w:lvlText w:val="-"/>
      <w:lvlJc w:val="left"/>
      <w:pPr>
        <w:ind w:hanging="360" w:left="720"/>
        <w:tabs>
          <w:tab w:val="left" w:pos="720" w:leader="none"/>
        </w:tabs>
      </w:pPr>
      <w:rPr>
        <w:rFonts w:ascii="Times New Roman" w:hAnsi="Times New Roman"/>
      </w:rPr>
    </w:lvl>
    <w:lvl w:ilvl="1" w:tplc="51ABBAC1">
      <w:start w:val="1"/>
      <w:numFmt w:val="bullet"/>
      <w:suff w:val="tab"/>
      <w:lvlText w:val="o"/>
      <w:lvlJc w:val="left"/>
      <w:pPr>
        <w:ind w:hanging="360" w:left="1440"/>
        <w:tabs>
          <w:tab w:val="left" w:pos="1440" w:leader="none"/>
        </w:tabs>
      </w:pPr>
      <w:rPr>
        <w:rFonts w:ascii="Courier New" w:hAnsi="Courier New"/>
      </w:rPr>
    </w:lvl>
    <w:lvl w:ilvl="2" w:tplc="707BCE08">
      <w:start w:val="1"/>
      <w:numFmt w:val="bullet"/>
      <w:suff w:val="tab"/>
      <w:lvlText w:val=""/>
      <w:lvlJc w:val="left"/>
      <w:pPr>
        <w:ind w:hanging="360" w:left="2160"/>
        <w:tabs>
          <w:tab w:val="left" w:pos="2160" w:leader="none"/>
        </w:tabs>
      </w:pPr>
      <w:rPr>
        <w:rFonts w:ascii="Wingdings" w:hAnsi="Wingdings"/>
      </w:rPr>
    </w:lvl>
    <w:lvl w:ilvl="3" w:tplc="12D92B50">
      <w:start w:val="1"/>
      <w:numFmt w:val="bullet"/>
      <w:suff w:val="tab"/>
      <w:lvlText w:val=""/>
      <w:lvlJc w:val="left"/>
      <w:pPr>
        <w:ind w:hanging="360" w:left="2880"/>
        <w:tabs>
          <w:tab w:val="left" w:pos="2880" w:leader="none"/>
        </w:tabs>
      </w:pPr>
      <w:rPr>
        <w:rFonts w:ascii="Symbol" w:hAnsi="Symbol"/>
      </w:rPr>
    </w:lvl>
    <w:lvl w:ilvl="4" w:tplc="5E4DFF2E">
      <w:start w:val="1"/>
      <w:numFmt w:val="bullet"/>
      <w:suff w:val="tab"/>
      <w:lvlText w:val="o"/>
      <w:lvlJc w:val="left"/>
      <w:pPr>
        <w:ind w:hanging="360" w:left="3600"/>
        <w:tabs>
          <w:tab w:val="left" w:pos="3600" w:leader="none"/>
        </w:tabs>
      </w:pPr>
      <w:rPr>
        <w:rFonts w:ascii="Courier New" w:hAnsi="Courier New"/>
      </w:rPr>
    </w:lvl>
    <w:lvl w:ilvl="5" w:tplc="5FBD633B">
      <w:start w:val="1"/>
      <w:numFmt w:val="bullet"/>
      <w:suff w:val="tab"/>
      <w:lvlText w:val=""/>
      <w:lvlJc w:val="left"/>
      <w:pPr>
        <w:ind w:hanging="360" w:left="4320"/>
        <w:tabs>
          <w:tab w:val="left" w:pos="4320" w:leader="none"/>
        </w:tabs>
      </w:pPr>
      <w:rPr>
        <w:rFonts w:ascii="Wingdings" w:hAnsi="Wingdings"/>
      </w:rPr>
    </w:lvl>
    <w:lvl w:ilvl="6" w:tplc="5022F628">
      <w:start w:val="1"/>
      <w:numFmt w:val="bullet"/>
      <w:suff w:val="tab"/>
      <w:lvlText w:val=""/>
      <w:lvlJc w:val="left"/>
      <w:pPr>
        <w:ind w:hanging="360" w:left="5040"/>
        <w:tabs>
          <w:tab w:val="left" w:pos="5040" w:leader="none"/>
        </w:tabs>
      </w:pPr>
      <w:rPr>
        <w:rFonts w:ascii="Symbol" w:hAnsi="Symbol"/>
      </w:rPr>
    </w:lvl>
    <w:lvl w:ilvl="7" w:tplc="4CBC0CEA">
      <w:start w:val="1"/>
      <w:numFmt w:val="bullet"/>
      <w:suff w:val="tab"/>
      <w:lvlText w:val="o"/>
      <w:lvlJc w:val="left"/>
      <w:pPr>
        <w:ind w:hanging="360" w:left="5760"/>
        <w:tabs>
          <w:tab w:val="left" w:pos="5760" w:leader="none"/>
        </w:tabs>
      </w:pPr>
      <w:rPr>
        <w:rFonts w:ascii="Courier New" w:hAnsi="Courier New"/>
      </w:rPr>
    </w:lvl>
    <w:lvl w:ilvl="8" w:tplc="418426D3">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5F1F33CE">
      <w:start w:val="1"/>
      <w:numFmt w:val="bullet"/>
      <w:suff w:val="tab"/>
      <w:lvlText w:val=""/>
      <w:lvlJc w:val="left"/>
      <w:pPr>
        <w:ind w:hanging="360" w:left="720"/>
        <w:tabs>
          <w:tab w:val="left" w:pos="720" w:leader="none"/>
        </w:tabs>
      </w:pPr>
      <w:rPr>
        <w:rFonts w:ascii="Symbol" w:hAnsi="Symbol"/>
      </w:rPr>
    </w:lvl>
    <w:lvl w:ilvl="1" w:tplc="69C1E4E6">
      <w:start w:val="1"/>
      <w:numFmt w:val="bullet"/>
      <w:suff w:val="tab"/>
      <w:lvlText w:val="o"/>
      <w:lvlJc w:val="left"/>
      <w:pPr>
        <w:ind w:hanging="360" w:left="1440"/>
        <w:tabs>
          <w:tab w:val="left" w:pos="1440" w:leader="none"/>
        </w:tabs>
      </w:pPr>
      <w:rPr>
        <w:rFonts w:ascii="Courier New" w:hAnsi="Courier New"/>
      </w:rPr>
    </w:lvl>
    <w:lvl w:ilvl="2" w:tplc="0CFCB5CA">
      <w:start w:val="1"/>
      <w:numFmt w:val="bullet"/>
      <w:suff w:val="tab"/>
      <w:lvlText w:val=""/>
      <w:lvlJc w:val="left"/>
      <w:pPr>
        <w:ind w:hanging="360" w:left="2160"/>
        <w:tabs>
          <w:tab w:val="left" w:pos="2160" w:leader="none"/>
        </w:tabs>
      </w:pPr>
      <w:rPr>
        <w:rFonts w:ascii="Wingdings" w:hAnsi="Wingdings"/>
      </w:rPr>
    </w:lvl>
    <w:lvl w:ilvl="3" w:tplc="117242C2">
      <w:start w:val="1"/>
      <w:numFmt w:val="bullet"/>
      <w:suff w:val="tab"/>
      <w:lvlText w:val=""/>
      <w:lvlJc w:val="left"/>
      <w:pPr>
        <w:ind w:hanging="360" w:left="2880"/>
        <w:tabs>
          <w:tab w:val="left" w:pos="2880" w:leader="none"/>
        </w:tabs>
      </w:pPr>
      <w:rPr>
        <w:rFonts w:ascii="Symbol" w:hAnsi="Symbol"/>
      </w:rPr>
    </w:lvl>
    <w:lvl w:ilvl="4" w:tplc="028C16EF">
      <w:start w:val="1"/>
      <w:numFmt w:val="bullet"/>
      <w:suff w:val="tab"/>
      <w:lvlText w:val="o"/>
      <w:lvlJc w:val="left"/>
      <w:pPr>
        <w:ind w:hanging="360" w:left="3600"/>
        <w:tabs>
          <w:tab w:val="left" w:pos="3600" w:leader="none"/>
        </w:tabs>
      </w:pPr>
      <w:rPr>
        <w:rFonts w:ascii="Courier New" w:hAnsi="Courier New"/>
      </w:rPr>
    </w:lvl>
    <w:lvl w:ilvl="5" w:tplc="756C5D44">
      <w:start w:val="1"/>
      <w:numFmt w:val="bullet"/>
      <w:suff w:val="tab"/>
      <w:lvlText w:val=""/>
      <w:lvlJc w:val="left"/>
      <w:pPr>
        <w:ind w:hanging="360" w:left="4320"/>
        <w:tabs>
          <w:tab w:val="left" w:pos="4320" w:leader="none"/>
        </w:tabs>
      </w:pPr>
      <w:rPr>
        <w:rFonts w:ascii="Wingdings" w:hAnsi="Wingdings"/>
      </w:rPr>
    </w:lvl>
    <w:lvl w:ilvl="6" w:tplc="31AC6E74">
      <w:start w:val="1"/>
      <w:numFmt w:val="bullet"/>
      <w:suff w:val="tab"/>
      <w:lvlText w:val=""/>
      <w:lvlJc w:val="left"/>
      <w:pPr>
        <w:ind w:hanging="360" w:left="5040"/>
        <w:tabs>
          <w:tab w:val="left" w:pos="5040" w:leader="none"/>
        </w:tabs>
      </w:pPr>
      <w:rPr>
        <w:rFonts w:ascii="Symbol" w:hAnsi="Symbol"/>
      </w:rPr>
    </w:lvl>
    <w:lvl w:ilvl="7" w:tplc="48C5732A">
      <w:start w:val="1"/>
      <w:numFmt w:val="bullet"/>
      <w:suff w:val="tab"/>
      <w:lvlText w:val="o"/>
      <w:lvlJc w:val="left"/>
      <w:pPr>
        <w:ind w:hanging="360" w:left="5760"/>
        <w:tabs>
          <w:tab w:val="left" w:pos="5760" w:leader="none"/>
        </w:tabs>
      </w:pPr>
      <w:rPr>
        <w:rFonts w:ascii="Courier New" w:hAnsi="Courier New"/>
      </w:rPr>
    </w:lvl>
    <w:lvl w:ilvl="8" w:tplc="44CE04C6">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13496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1">
    <w:nsid w:val="5A042302"/>
    <w:multiLevelType w:val="hybridMultilevel"/>
    <w:lvl w:ilvl="0" w:tplc="39CA596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0">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9337B0B"/>
    <w:multiLevelType w:val="multilevel"/>
    <w:lvl w:ilvl="0">
      <w:start w:val="1"/>
      <w:numFmt w:val="lowerLetter"/>
      <w:suff w:val="tab"/>
      <w:lvlText w:val="%1."/>
      <w:lvlJc w:val="left"/>
      <w:pPr>
        <w:ind w:hanging="360" w:left="1068"/>
      </w:pPr>
      <w:rPr/>
    </w:lvl>
    <w:lvl w:ilvl="1">
      <w:start w:val="1"/>
      <w:numFmt w:val="lowerLetter"/>
      <w:suff w:val="tab"/>
      <w:lvlText w:val="%2)"/>
      <w:lvlJc w:val="left"/>
      <w:pPr>
        <w:ind w:hanging="360" w:left="1428"/>
      </w:pPr>
      <w:rPr/>
    </w:lvl>
    <w:lvl w:ilvl="2">
      <w:start w:val="1"/>
      <w:numFmt w:val="lowerRoman"/>
      <w:suff w:val="tab"/>
      <w:lvlText w:val="%3)"/>
      <w:lvlJc w:val="left"/>
      <w:pPr>
        <w:ind w:hanging="360" w:left="1788"/>
      </w:pPr>
      <w:rPr/>
    </w:lvl>
    <w:lvl w:ilvl="3">
      <w:start w:val="1"/>
      <w:numFmt w:val="decimal"/>
      <w:suff w:val="tab"/>
      <w:lvlText w:val="(%4)"/>
      <w:lvlJc w:val="left"/>
      <w:pPr>
        <w:ind w:hanging="360" w:left="2148"/>
      </w:pPr>
      <w:rPr/>
    </w:lvl>
    <w:lvl w:ilvl="4">
      <w:start w:val="1"/>
      <w:numFmt w:val="lowerLetter"/>
      <w:suff w:val="tab"/>
      <w:lvlText w:val="(%5)"/>
      <w:lvlJc w:val="left"/>
      <w:pPr>
        <w:ind w:hanging="360" w:left="2508"/>
      </w:pPr>
      <w:rPr/>
    </w:lvl>
    <w:lvl w:ilvl="5">
      <w:start w:val="1"/>
      <w:numFmt w:val="lowerRoman"/>
      <w:suff w:val="tab"/>
      <w:lvlText w:val="(%6)"/>
      <w:lvlJc w:val="left"/>
      <w:pPr>
        <w:ind w:hanging="360" w:left="2868"/>
      </w:pPr>
      <w:rPr/>
    </w:lvl>
    <w:lvl w:ilvl="6">
      <w:start w:val="1"/>
      <w:numFmt w:val="decimal"/>
      <w:suff w:val="tab"/>
      <w:lvlText w:val="%7."/>
      <w:lvlJc w:val="left"/>
      <w:pPr>
        <w:ind w:hanging="360" w:left="3228"/>
      </w:pPr>
      <w:rPr/>
    </w:lvl>
    <w:lvl w:ilvl="7">
      <w:start w:val="1"/>
      <w:numFmt w:val="lowerLetter"/>
      <w:suff w:val="tab"/>
      <w:lvlText w:val="%8."/>
      <w:lvlJc w:val="left"/>
      <w:pPr>
        <w:ind w:hanging="360" w:left="3588"/>
      </w:pPr>
      <w:rPr/>
    </w:lvl>
    <w:lvl w:ilvl="8">
      <w:start w:val="1"/>
      <w:numFmt w:val="lowerRoman"/>
      <w:suff w:val="tab"/>
      <w:lvlText w:val="%9."/>
      <w:lvlJc w:val="left"/>
      <w:pPr>
        <w:ind w:hanging="360" w:left="3948"/>
      </w:pPr>
      <w:rPr/>
    </w:lvl>
  </w:abstractNum>
  <w:abstractNum w:abstractNumId="3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0"/>
  </w:num>
  <w:num w:numId="2">
    <w:abstractNumId w:val="9"/>
  </w:num>
  <w:num w:numId="3">
    <w:abstractNumId w:val="13"/>
  </w:num>
  <w:num w:numId="4">
    <w:abstractNumId w:val="24"/>
  </w:num>
  <w:num w:numId="5">
    <w:abstractNumId w:val="28"/>
  </w:num>
  <w:num w:numId="6">
    <w:abstractNumId w:val="7"/>
  </w:num>
  <w:num w:numId="7">
    <w:abstractNumId w:val="22"/>
  </w:num>
  <w:num w:numId="8">
    <w:abstractNumId w:val="3"/>
  </w:num>
  <w:num w:numId="9">
    <w:abstractNumId w:val="6"/>
  </w:num>
  <w:num w:numId="10">
    <w:abstractNumId w:val="8"/>
  </w:num>
  <w:num w:numId="11">
    <w:abstractNumId w:val="17"/>
  </w:num>
  <w:num w:numId="12">
    <w:abstractNumId w:val="18"/>
  </w:num>
  <w:num w:numId="13">
    <w:abstractNumId w:val="33"/>
  </w:num>
  <w:num w:numId="14">
    <w:abstractNumId w:val="27"/>
  </w:num>
  <w:num w:numId="15">
    <w:abstractNumId w:val="26"/>
  </w:num>
  <w:num w:numId="16">
    <w:abstractNumId w:val="15"/>
  </w:num>
  <w:num w:numId="17">
    <w:abstractNumId w:val="16"/>
  </w:num>
  <w:num w:numId="18">
    <w:abstractNumId w:val="29"/>
  </w:num>
  <w:num w:numId="19">
    <w:abstractNumId w:val="10"/>
  </w:num>
  <w:num w:numId="20">
    <w:abstractNumId w:val="4"/>
  </w:num>
  <w:num w:numId="21">
    <w:abstractNumId w:val="1"/>
  </w:num>
  <w:num w:numId="22">
    <w:abstractNumId w:val="21"/>
  </w:num>
  <w:num w:numId="23">
    <w:abstractNumId w:val="30"/>
  </w:num>
  <w:num w:numId="24">
    <w:abstractNumId w:val="25"/>
  </w:num>
  <w:num w:numId="25">
    <w:abstractNumId w:val="11"/>
  </w:num>
  <w:num w:numId="26">
    <w:abstractNumId w:val="32"/>
  </w:num>
  <w:num w:numId="27">
    <w:abstractNumId w:val="2"/>
  </w:num>
  <w:num w:numId="28">
    <w:abstractNumId w:val="23"/>
  </w:num>
  <w:num w:numId="29">
    <w:abstractNumId w:val="5"/>
  </w:num>
  <w:num w:numId="30">
    <w:abstractNumId w:val="14"/>
  </w:num>
  <w:num w:numId="31">
    <w:abstractNumId w:val="0"/>
  </w:num>
  <w:num w:numId="32">
    <w:abstractNumId w:val="12"/>
  </w:num>
  <w:num w:numId="33">
    <w:abstractNumId w:val="31"/>
  </w:num>
  <w:num w:numId="34">
    <w:abstractNumId w:val="19"/>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link w:val="C11"/>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2"/>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ítulo 1 Car"/>
    <w:basedOn w:val="C3"/>
    <w:link w:val="P2"/>
    <w:rPr>
      <w:rFonts w:ascii="Courier New" w:hAnsi="Courier New"/>
      <w:b w:val="1"/>
    </w:rPr>
  </w:style>
  <w:style w:type="character" w:styleId="C12">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2010-12-10T11:14:00Z</dcterms:created>
  <cp:lastModifiedBy>Ethan Puglia</cp:lastModifiedBy>
  <cp:lastPrinted>2010-12-16T16:34:00Z</cp:lastPrinted>
  <dcterms:modified xsi:type="dcterms:W3CDTF">2019-03-28T17:34:27Z</dcterms:modified>
  <cp:revision>7</cp:revision>
  <dc:title>PROYECTO DE ORDENANZA VIOLENCIA FAMILIAR</dc:title>
</cp:coreProperties>
</file>